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6B780A" w:rsidRDefault="00D5547E" w:rsidP="000C6786">
      <w:pPr>
        <w:jc w:val="both"/>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6B780A" w:rsidTr="005F7F7E">
        <w:tc>
          <w:tcPr>
            <w:tcW w:w="2438" w:type="dxa"/>
            <w:shd w:val="clear" w:color="auto" w:fill="auto"/>
          </w:tcPr>
          <w:p w:rsidR="00F445B1" w:rsidRPr="006B780A" w:rsidRDefault="00F445B1" w:rsidP="000C6786">
            <w:pPr>
              <w:jc w:val="both"/>
              <w:rPr>
                <w:rStyle w:val="Firstpagetablebold"/>
                <w:rFonts w:cs="Arial"/>
              </w:rPr>
            </w:pPr>
            <w:r w:rsidRPr="006B780A">
              <w:rPr>
                <w:rStyle w:val="Firstpagetablebold"/>
                <w:rFonts w:cs="Arial"/>
              </w:rPr>
              <w:t>To</w:t>
            </w:r>
            <w:r w:rsidR="005C35A5" w:rsidRPr="006B780A">
              <w:rPr>
                <w:rStyle w:val="Firstpagetablebold"/>
                <w:rFonts w:cs="Arial"/>
              </w:rPr>
              <w:t>:</w:t>
            </w:r>
          </w:p>
        </w:tc>
        <w:tc>
          <w:tcPr>
            <w:tcW w:w="6406" w:type="dxa"/>
            <w:shd w:val="clear" w:color="auto" w:fill="auto"/>
          </w:tcPr>
          <w:p w:rsidR="00F445B1" w:rsidRPr="006B780A" w:rsidRDefault="00F445B1" w:rsidP="000C6786">
            <w:pPr>
              <w:jc w:val="both"/>
              <w:rPr>
                <w:rStyle w:val="Firstpagetablebold"/>
                <w:rFonts w:cs="Arial"/>
              </w:rPr>
            </w:pPr>
            <w:r w:rsidRPr="006B780A">
              <w:rPr>
                <w:rStyle w:val="Firstpagetablebold"/>
                <w:rFonts w:cs="Arial"/>
              </w:rPr>
              <w:t>C</w:t>
            </w:r>
            <w:r w:rsidR="00BF4454">
              <w:rPr>
                <w:rStyle w:val="Firstpagetablebold"/>
                <w:rFonts w:cs="Arial"/>
              </w:rPr>
              <w:t>abinet</w:t>
            </w:r>
          </w:p>
        </w:tc>
      </w:tr>
      <w:tr w:rsidR="00CE544A" w:rsidRPr="006B780A" w:rsidTr="005F7F7E">
        <w:tc>
          <w:tcPr>
            <w:tcW w:w="2438" w:type="dxa"/>
            <w:shd w:val="clear" w:color="auto" w:fill="auto"/>
          </w:tcPr>
          <w:p w:rsidR="00F445B1" w:rsidRPr="006B780A" w:rsidRDefault="00F445B1" w:rsidP="000C6786">
            <w:pPr>
              <w:jc w:val="both"/>
              <w:rPr>
                <w:rStyle w:val="Firstpagetablebold"/>
                <w:rFonts w:cs="Arial"/>
              </w:rPr>
            </w:pPr>
            <w:r w:rsidRPr="006B780A">
              <w:rPr>
                <w:rStyle w:val="Firstpagetablebold"/>
                <w:rFonts w:cs="Arial"/>
              </w:rPr>
              <w:t>Dat</w:t>
            </w:r>
            <w:r w:rsidR="005C35A5" w:rsidRPr="006B780A">
              <w:rPr>
                <w:rStyle w:val="Firstpagetablebold"/>
                <w:rFonts w:cs="Arial"/>
              </w:rPr>
              <w:t>e:</w:t>
            </w:r>
          </w:p>
        </w:tc>
        <w:tc>
          <w:tcPr>
            <w:tcW w:w="6406" w:type="dxa"/>
            <w:shd w:val="clear" w:color="auto" w:fill="auto"/>
          </w:tcPr>
          <w:p w:rsidR="00F445B1" w:rsidRPr="006B780A" w:rsidRDefault="00CF69AF" w:rsidP="000C6786">
            <w:pPr>
              <w:jc w:val="both"/>
              <w:rPr>
                <w:rFonts w:cs="Arial"/>
                <w:b/>
              </w:rPr>
            </w:pPr>
            <w:r>
              <w:rPr>
                <w:rStyle w:val="Firstpagetablebold"/>
                <w:rFonts w:cs="Arial"/>
              </w:rPr>
              <w:t>10 July 2019</w:t>
            </w:r>
          </w:p>
        </w:tc>
      </w:tr>
      <w:tr w:rsidR="00CE544A" w:rsidRPr="006B780A" w:rsidTr="005F7F7E">
        <w:tc>
          <w:tcPr>
            <w:tcW w:w="2438" w:type="dxa"/>
            <w:shd w:val="clear" w:color="auto" w:fill="auto"/>
          </w:tcPr>
          <w:p w:rsidR="00F445B1" w:rsidRPr="006B780A" w:rsidRDefault="00F445B1" w:rsidP="000C6786">
            <w:pPr>
              <w:jc w:val="both"/>
              <w:rPr>
                <w:rStyle w:val="Firstpagetablebold"/>
                <w:rFonts w:cs="Arial"/>
              </w:rPr>
            </w:pPr>
            <w:r w:rsidRPr="006B780A">
              <w:rPr>
                <w:rStyle w:val="Firstpagetablebold"/>
                <w:rFonts w:cs="Arial"/>
              </w:rPr>
              <w:t>Report of</w:t>
            </w:r>
            <w:r w:rsidR="005C35A5" w:rsidRPr="006B780A">
              <w:rPr>
                <w:rStyle w:val="Firstpagetablebold"/>
                <w:rFonts w:cs="Arial"/>
              </w:rPr>
              <w:t>:</w:t>
            </w:r>
          </w:p>
        </w:tc>
        <w:tc>
          <w:tcPr>
            <w:tcW w:w="6406" w:type="dxa"/>
            <w:shd w:val="clear" w:color="auto" w:fill="auto"/>
          </w:tcPr>
          <w:p w:rsidR="00F445B1" w:rsidRPr="006B780A" w:rsidRDefault="00EA7B5D" w:rsidP="000C6786">
            <w:pPr>
              <w:jc w:val="both"/>
              <w:rPr>
                <w:rStyle w:val="Firstpagetablebold"/>
                <w:rFonts w:cs="Arial"/>
              </w:rPr>
            </w:pPr>
            <w:r w:rsidRPr="006B780A">
              <w:rPr>
                <w:rStyle w:val="Firstpagetablebold"/>
                <w:rFonts w:cs="Arial"/>
              </w:rPr>
              <w:t xml:space="preserve">Regeneration and Major Projects Service Manager </w:t>
            </w:r>
          </w:p>
        </w:tc>
      </w:tr>
      <w:tr w:rsidR="00CE544A" w:rsidRPr="006B780A" w:rsidTr="005F7F7E">
        <w:tc>
          <w:tcPr>
            <w:tcW w:w="2438" w:type="dxa"/>
            <w:shd w:val="clear" w:color="auto" w:fill="auto"/>
          </w:tcPr>
          <w:p w:rsidR="00F445B1" w:rsidRPr="006B780A" w:rsidRDefault="00F445B1" w:rsidP="000C6786">
            <w:pPr>
              <w:jc w:val="both"/>
              <w:rPr>
                <w:rStyle w:val="Firstpagetablebold"/>
                <w:rFonts w:cs="Arial"/>
              </w:rPr>
            </w:pPr>
            <w:r w:rsidRPr="006B780A">
              <w:rPr>
                <w:rStyle w:val="Firstpagetablebold"/>
                <w:rFonts w:cs="Arial"/>
              </w:rPr>
              <w:t xml:space="preserve">Title of Report: </w:t>
            </w:r>
          </w:p>
        </w:tc>
        <w:tc>
          <w:tcPr>
            <w:tcW w:w="6406" w:type="dxa"/>
            <w:shd w:val="clear" w:color="auto" w:fill="auto"/>
          </w:tcPr>
          <w:p w:rsidR="00F445B1" w:rsidRPr="00403332" w:rsidRDefault="00A90B2D" w:rsidP="000C6786">
            <w:pPr>
              <w:jc w:val="both"/>
              <w:rPr>
                <w:rStyle w:val="Firstpagetablebold"/>
                <w:rFonts w:cs="Arial"/>
                <w:b w:val="0"/>
              </w:rPr>
            </w:pPr>
            <w:r w:rsidRPr="00403332">
              <w:rPr>
                <w:rFonts w:cs="Arial"/>
                <w:b/>
              </w:rPr>
              <w:t>Update on progress</w:t>
            </w:r>
            <w:r w:rsidR="00F849DB" w:rsidRPr="00403332">
              <w:rPr>
                <w:rFonts w:cs="Arial"/>
                <w:b/>
              </w:rPr>
              <w:t xml:space="preserve"> with dev</w:t>
            </w:r>
            <w:r w:rsidR="00837BF7" w:rsidRPr="00403332">
              <w:rPr>
                <w:rFonts w:cs="Arial"/>
                <w:b/>
              </w:rPr>
              <w:t>e</w:t>
            </w:r>
            <w:r w:rsidR="00F849DB" w:rsidRPr="00403332">
              <w:rPr>
                <w:rFonts w:cs="Arial"/>
                <w:b/>
              </w:rPr>
              <w:t>lopment</w:t>
            </w:r>
            <w:r w:rsidRPr="00403332">
              <w:rPr>
                <w:rFonts w:cs="Arial"/>
                <w:b/>
              </w:rPr>
              <w:t xml:space="preserve"> at Barton Park. </w:t>
            </w:r>
          </w:p>
        </w:tc>
      </w:tr>
    </w:tbl>
    <w:p w:rsidR="004F20EF" w:rsidRPr="006B780A" w:rsidRDefault="004F20EF" w:rsidP="000C6786">
      <w:pPr>
        <w:jc w:val="both"/>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6B780A" w:rsidTr="0080749A">
        <w:tc>
          <w:tcPr>
            <w:tcW w:w="8845" w:type="dxa"/>
            <w:gridSpan w:val="3"/>
            <w:tcBorders>
              <w:bottom w:val="single" w:sz="8" w:space="0" w:color="000000"/>
            </w:tcBorders>
            <w:hideMark/>
          </w:tcPr>
          <w:p w:rsidR="00D5547E" w:rsidRPr="006B780A" w:rsidRDefault="00745BF0" w:rsidP="000C6786">
            <w:pPr>
              <w:jc w:val="both"/>
              <w:rPr>
                <w:rStyle w:val="Firstpagetablebold"/>
                <w:rFonts w:cs="Arial"/>
              </w:rPr>
            </w:pPr>
            <w:r w:rsidRPr="006B780A">
              <w:rPr>
                <w:rStyle w:val="Firstpagetablebold"/>
                <w:rFonts w:cs="Arial"/>
              </w:rPr>
              <w:t>Summary and r</w:t>
            </w:r>
            <w:r w:rsidR="00D5547E" w:rsidRPr="006B780A">
              <w:rPr>
                <w:rStyle w:val="Firstpagetablebold"/>
                <w:rFonts w:cs="Arial"/>
              </w:rPr>
              <w:t>ecommendations</w:t>
            </w:r>
          </w:p>
        </w:tc>
      </w:tr>
      <w:tr w:rsidR="00D5547E" w:rsidRPr="006B780A" w:rsidTr="0080749A">
        <w:tc>
          <w:tcPr>
            <w:tcW w:w="2438" w:type="dxa"/>
            <w:gridSpan w:val="2"/>
            <w:tcBorders>
              <w:top w:val="single" w:sz="8" w:space="0" w:color="000000"/>
              <w:left w:val="single" w:sz="8" w:space="0" w:color="000000"/>
              <w:bottom w:val="nil"/>
              <w:right w:val="nil"/>
            </w:tcBorders>
            <w:hideMark/>
          </w:tcPr>
          <w:p w:rsidR="00D5547E" w:rsidRPr="006B780A" w:rsidRDefault="00D5547E" w:rsidP="000C6786">
            <w:pPr>
              <w:jc w:val="both"/>
              <w:rPr>
                <w:rStyle w:val="Firstpagetablebold"/>
                <w:rFonts w:cs="Arial"/>
              </w:rPr>
            </w:pPr>
            <w:r w:rsidRPr="006B780A">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rsidR="00D5547E" w:rsidRPr="006B780A" w:rsidRDefault="00EA7B5D" w:rsidP="00436339">
            <w:pPr>
              <w:jc w:val="both"/>
              <w:rPr>
                <w:rFonts w:cs="Arial"/>
              </w:rPr>
            </w:pPr>
            <w:r w:rsidRPr="006B780A">
              <w:rPr>
                <w:rFonts w:cs="Arial"/>
              </w:rPr>
              <w:t xml:space="preserve">The </w:t>
            </w:r>
            <w:r w:rsidR="00436339">
              <w:rPr>
                <w:rFonts w:cs="Arial"/>
              </w:rPr>
              <w:t>Cabinet</w:t>
            </w:r>
            <w:r w:rsidRPr="006B780A">
              <w:rPr>
                <w:rFonts w:cs="Arial"/>
              </w:rPr>
              <w:t xml:space="preserve"> is asked to note the progress made with the development of Barton </w:t>
            </w:r>
            <w:r w:rsidR="00F849DB">
              <w:rPr>
                <w:rFonts w:cs="Arial"/>
              </w:rPr>
              <w:t>P</w:t>
            </w:r>
            <w:r w:rsidRPr="006B780A">
              <w:rPr>
                <w:rFonts w:cs="Arial"/>
              </w:rPr>
              <w:t xml:space="preserve">ark by the </w:t>
            </w:r>
            <w:r w:rsidR="006F5181">
              <w:rPr>
                <w:rFonts w:cs="Arial"/>
              </w:rPr>
              <w:t>J</w:t>
            </w:r>
            <w:r w:rsidRPr="006B780A">
              <w:rPr>
                <w:rFonts w:cs="Arial"/>
              </w:rPr>
              <w:t xml:space="preserve">oint </w:t>
            </w:r>
            <w:r w:rsidR="006F5181">
              <w:rPr>
                <w:rFonts w:cs="Arial"/>
              </w:rPr>
              <w:t>V</w:t>
            </w:r>
            <w:r w:rsidRPr="006B780A">
              <w:rPr>
                <w:rFonts w:cs="Arial"/>
              </w:rPr>
              <w:t xml:space="preserve">enture and to note the update in relation to the purchase of the affordable housing.  </w:t>
            </w:r>
          </w:p>
        </w:tc>
      </w:tr>
      <w:tr w:rsidR="00D5547E" w:rsidRPr="006B780A" w:rsidTr="0080749A">
        <w:tc>
          <w:tcPr>
            <w:tcW w:w="2438" w:type="dxa"/>
            <w:gridSpan w:val="2"/>
            <w:tcBorders>
              <w:top w:val="nil"/>
              <w:left w:val="single" w:sz="8" w:space="0" w:color="000000"/>
              <w:bottom w:val="nil"/>
              <w:right w:val="nil"/>
            </w:tcBorders>
            <w:hideMark/>
          </w:tcPr>
          <w:p w:rsidR="00D5547E" w:rsidRPr="006B780A" w:rsidRDefault="00D5547E" w:rsidP="000C6786">
            <w:pPr>
              <w:jc w:val="both"/>
              <w:rPr>
                <w:rStyle w:val="Firstpagetablebold"/>
                <w:rFonts w:cs="Arial"/>
              </w:rPr>
            </w:pPr>
            <w:r w:rsidRPr="006B780A">
              <w:rPr>
                <w:rStyle w:val="Firstpagetablebold"/>
                <w:rFonts w:cs="Arial"/>
              </w:rPr>
              <w:t>Key decision:</w:t>
            </w:r>
          </w:p>
        </w:tc>
        <w:tc>
          <w:tcPr>
            <w:tcW w:w="6407" w:type="dxa"/>
            <w:tcBorders>
              <w:top w:val="nil"/>
              <w:left w:val="nil"/>
              <w:bottom w:val="nil"/>
              <w:right w:val="single" w:sz="8" w:space="0" w:color="000000"/>
            </w:tcBorders>
            <w:hideMark/>
          </w:tcPr>
          <w:p w:rsidR="00D5547E" w:rsidRPr="006B780A" w:rsidRDefault="00D5547E" w:rsidP="000C6786">
            <w:pPr>
              <w:jc w:val="both"/>
              <w:rPr>
                <w:rFonts w:cs="Arial"/>
              </w:rPr>
            </w:pPr>
            <w:r w:rsidRPr="00A05CA6">
              <w:rPr>
                <w:rFonts w:cs="Arial"/>
                <w:color w:val="auto"/>
              </w:rPr>
              <w:t>No</w:t>
            </w:r>
          </w:p>
        </w:tc>
      </w:tr>
      <w:tr w:rsidR="00D5547E" w:rsidRPr="006B780A" w:rsidTr="0080749A">
        <w:tc>
          <w:tcPr>
            <w:tcW w:w="2438" w:type="dxa"/>
            <w:gridSpan w:val="2"/>
            <w:tcBorders>
              <w:top w:val="nil"/>
              <w:left w:val="single" w:sz="8" w:space="0" w:color="000000"/>
              <w:bottom w:val="nil"/>
              <w:right w:val="nil"/>
            </w:tcBorders>
            <w:hideMark/>
          </w:tcPr>
          <w:p w:rsidR="00D5547E" w:rsidRPr="006B780A" w:rsidRDefault="006F33E0" w:rsidP="000C6786">
            <w:pPr>
              <w:jc w:val="both"/>
              <w:rPr>
                <w:rStyle w:val="Firstpagetablebold"/>
                <w:rFonts w:cs="Arial"/>
              </w:rPr>
            </w:pPr>
            <w:r>
              <w:rPr>
                <w:rStyle w:val="Firstpagetablebold"/>
                <w:rFonts w:cs="Arial"/>
              </w:rPr>
              <w:t xml:space="preserve">Cabinet </w:t>
            </w:r>
            <w:r w:rsidR="00D5547E" w:rsidRPr="006B780A">
              <w:rPr>
                <w:rStyle w:val="Firstpagetablebold"/>
                <w:rFonts w:cs="Arial"/>
              </w:rPr>
              <w:t>Member:</w:t>
            </w:r>
          </w:p>
        </w:tc>
        <w:tc>
          <w:tcPr>
            <w:tcW w:w="6407" w:type="dxa"/>
            <w:tcBorders>
              <w:top w:val="nil"/>
              <w:left w:val="nil"/>
              <w:bottom w:val="nil"/>
              <w:right w:val="single" w:sz="8" w:space="0" w:color="000000"/>
            </w:tcBorders>
            <w:hideMark/>
          </w:tcPr>
          <w:p w:rsidR="00D5547E" w:rsidRDefault="00E41E74" w:rsidP="000C6786">
            <w:pPr>
              <w:jc w:val="both"/>
              <w:rPr>
                <w:rFonts w:cs="Arial"/>
              </w:rPr>
            </w:pPr>
            <w:r>
              <w:rPr>
                <w:rFonts w:cs="Arial"/>
              </w:rPr>
              <w:t>Council</w:t>
            </w:r>
            <w:r w:rsidR="00D5547E" w:rsidRPr="006B780A">
              <w:rPr>
                <w:rFonts w:cs="Arial"/>
              </w:rPr>
              <w:t xml:space="preserve">lor </w:t>
            </w:r>
            <w:r w:rsidR="00EA7B5D" w:rsidRPr="006B780A">
              <w:rPr>
                <w:rFonts w:cs="Arial"/>
              </w:rPr>
              <w:t>Ed Turner</w:t>
            </w:r>
            <w:r w:rsidR="00CD3016">
              <w:rPr>
                <w:rFonts w:cs="Arial"/>
              </w:rPr>
              <w:t xml:space="preserve"> -</w:t>
            </w:r>
            <w:r w:rsidR="00EA7B5D" w:rsidRPr="006B780A">
              <w:rPr>
                <w:rFonts w:cs="Arial"/>
              </w:rPr>
              <w:t xml:space="preserve"> Member for Finance and Asset </w:t>
            </w:r>
            <w:r w:rsidR="00CD3016">
              <w:rPr>
                <w:rFonts w:cs="Arial"/>
              </w:rPr>
              <w:t>M</w:t>
            </w:r>
            <w:r w:rsidR="00EA7B5D" w:rsidRPr="006B780A">
              <w:rPr>
                <w:rFonts w:cs="Arial"/>
              </w:rPr>
              <w:t>anagement</w:t>
            </w:r>
          </w:p>
          <w:p w:rsidR="00CD3016" w:rsidRPr="006B780A" w:rsidRDefault="00CD3016" w:rsidP="000C6786">
            <w:pPr>
              <w:jc w:val="both"/>
              <w:rPr>
                <w:rFonts w:cs="Arial"/>
              </w:rPr>
            </w:pPr>
            <w:r>
              <w:rPr>
                <w:rFonts w:cs="Arial"/>
              </w:rPr>
              <w:t>Councillor Rowley – Member for</w:t>
            </w:r>
            <w:r w:rsidR="006F33E0">
              <w:rPr>
                <w:rFonts w:cs="Arial"/>
              </w:rPr>
              <w:t xml:space="preserve"> Affordable</w:t>
            </w:r>
            <w:r>
              <w:rPr>
                <w:rFonts w:cs="Arial"/>
              </w:rPr>
              <w:t xml:space="preserve"> Housing</w:t>
            </w:r>
          </w:p>
        </w:tc>
      </w:tr>
      <w:tr w:rsidR="0080749A" w:rsidRPr="006B780A" w:rsidTr="0080749A">
        <w:tc>
          <w:tcPr>
            <w:tcW w:w="2438" w:type="dxa"/>
            <w:gridSpan w:val="2"/>
            <w:tcBorders>
              <w:top w:val="nil"/>
              <w:left w:val="single" w:sz="8" w:space="0" w:color="000000"/>
              <w:bottom w:val="nil"/>
              <w:right w:val="nil"/>
            </w:tcBorders>
          </w:tcPr>
          <w:p w:rsidR="0080749A" w:rsidRPr="006B780A" w:rsidRDefault="0080749A" w:rsidP="000C6786">
            <w:pPr>
              <w:jc w:val="both"/>
              <w:rPr>
                <w:rStyle w:val="Firstpagetablebold"/>
                <w:rFonts w:cs="Arial"/>
              </w:rPr>
            </w:pPr>
            <w:r w:rsidRPr="006B780A">
              <w:rPr>
                <w:rStyle w:val="Firstpagetablebold"/>
                <w:rFonts w:cs="Arial"/>
              </w:rPr>
              <w:t>Corporate Priority:</w:t>
            </w:r>
          </w:p>
        </w:tc>
        <w:tc>
          <w:tcPr>
            <w:tcW w:w="6407" w:type="dxa"/>
            <w:tcBorders>
              <w:top w:val="nil"/>
              <w:left w:val="nil"/>
              <w:bottom w:val="nil"/>
              <w:right w:val="single" w:sz="8" w:space="0" w:color="000000"/>
            </w:tcBorders>
          </w:tcPr>
          <w:p w:rsidR="00EA7B5D" w:rsidRPr="006B780A" w:rsidRDefault="00DF6038" w:rsidP="000C6786">
            <w:pPr>
              <w:jc w:val="both"/>
              <w:rPr>
                <w:rFonts w:cs="Arial"/>
              </w:rPr>
            </w:pPr>
            <w:r w:rsidRPr="006B780A">
              <w:rPr>
                <w:rFonts w:cs="Arial"/>
              </w:rPr>
              <w:t xml:space="preserve">Meeting Housing Needs </w:t>
            </w:r>
          </w:p>
        </w:tc>
      </w:tr>
      <w:tr w:rsidR="00D5547E" w:rsidRPr="006B780A" w:rsidTr="0080749A">
        <w:tc>
          <w:tcPr>
            <w:tcW w:w="2438" w:type="dxa"/>
            <w:gridSpan w:val="2"/>
            <w:tcBorders>
              <w:top w:val="nil"/>
              <w:left w:val="single" w:sz="8" w:space="0" w:color="000000"/>
              <w:bottom w:val="nil"/>
              <w:right w:val="nil"/>
            </w:tcBorders>
            <w:hideMark/>
          </w:tcPr>
          <w:p w:rsidR="00D5547E" w:rsidRPr="006B780A" w:rsidRDefault="00D5547E" w:rsidP="000C6786">
            <w:pPr>
              <w:jc w:val="both"/>
              <w:rPr>
                <w:rStyle w:val="Firstpagetablebold"/>
                <w:rFonts w:cs="Arial"/>
              </w:rPr>
            </w:pPr>
            <w:r w:rsidRPr="006B780A">
              <w:rPr>
                <w:rStyle w:val="Firstpagetablebold"/>
                <w:rFonts w:cs="Arial"/>
              </w:rPr>
              <w:t>Policy Framework:</w:t>
            </w:r>
          </w:p>
        </w:tc>
        <w:tc>
          <w:tcPr>
            <w:tcW w:w="6407" w:type="dxa"/>
            <w:tcBorders>
              <w:top w:val="nil"/>
              <w:left w:val="nil"/>
              <w:bottom w:val="nil"/>
              <w:right w:val="single" w:sz="8" w:space="0" w:color="000000"/>
            </w:tcBorders>
            <w:hideMark/>
          </w:tcPr>
          <w:p w:rsidR="00D5547E" w:rsidRPr="006B780A" w:rsidRDefault="00F849DB" w:rsidP="000C6786">
            <w:pPr>
              <w:jc w:val="both"/>
              <w:rPr>
                <w:rFonts w:cs="Arial"/>
              </w:rPr>
            </w:pPr>
            <w:r>
              <w:rPr>
                <w:rFonts w:cs="Arial"/>
              </w:rPr>
              <w:t>Housing and Homelessness Strategy</w:t>
            </w:r>
            <w:r w:rsidR="00D5547E" w:rsidRPr="006B780A">
              <w:rPr>
                <w:rFonts w:cs="Arial"/>
              </w:rPr>
              <w:t>.</w:t>
            </w:r>
          </w:p>
        </w:tc>
      </w:tr>
      <w:tr w:rsidR="005F7F7E" w:rsidRPr="006B780A" w:rsidTr="00A46E98">
        <w:trPr>
          <w:trHeight w:val="413"/>
        </w:trPr>
        <w:tc>
          <w:tcPr>
            <w:tcW w:w="8845" w:type="dxa"/>
            <w:gridSpan w:val="3"/>
            <w:tcBorders>
              <w:bottom w:val="single" w:sz="8" w:space="0" w:color="000000"/>
            </w:tcBorders>
          </w:tcPr>
          <w:p w:rsidR="00B03503" w:rsidRDefault="00B03503" w:rsidP="000C6786">
            <w:pPr>
              <w:jc w:val="both"/>
              <w:rPr>
                <w:rStyle w:val="Firstpagetablebold"/>
                <w:rFonts w:cs="Arial"/>
              </w:rPr>
            </w:pPr>
          </w:p>
          <w:p w:rsidR="005F7F7E" w:rsidRPr="006F33E0" w:rsidRDefault="006F33E0" w:rsidP="000C6786">
            <w:pPr>
              <w:jc w:val="both"/>
              <w:rPr>
                <w:rStyle w:val="Firstpagetablebold"/>
                <w:rFonts w:cs="Arial"/>
                <w:b w:val="0"/>
              </w:rPr>
            </w:pPr>
            <w:r>
              <w:rPr>
                <w:rStyle w:val="Firstpagetablebold"/>
                <w:rFonts w:cs="Arial"/>
              </w:rPr>
              <w:t>Recommendation</w:t>
            </w:r>
            <w:r w:rsidR="005F7F7E" w:rsidRPr="006B780A">
              <w:rPr>
                <w:rStyle w:val="Firstpagetablebold"/>
                <w:rFonts w:cs="Arial"/>
              </w:rPr>
              <w:t>s:</w:t>
            </w:r>
            <w:r>
              <w:rPr>
                <w:rStyle w:val="Firstpagetablebold"/>
                <w:rFonts w:cs="Arial"/>
              </w:rPr>
              <w:t xml:space="preserve"> </w:t>
            </w:r>
            <w:r w:rsidR="005F7F7E" w:rsidRPr="006F33E0">
              <w:rPr>
                <w:rStyle w:val="Firstpagetablebold"/>
                <w:rFonts w:cs="Arial"/>
                <w:b w:val="0"/>
              </w:rPr>
              <w:t>That the C</w:t>
            </w:r>
            <w:r w:rsidR="00A05CA6" w:rsidRPr="006F33E0">
              <w:rPr>
                <w:rStyle w:val="Firstpagetablebold"/>
                <w:rFonts w:cs="Arial"/>
                <w:b w:val="0"/>
              </w:rPr>
              <w:t>abinet</w:t>
            </w:r>
            <w:r w:rsidR="005F7F7E" w:rsidRPr="006F33E0">
              <w:rPr>
                <w:rStyle w:val="Firstpagetablebold"/>
                <w:rFonts w:cs="Arial"/>
                <w:b w:val="0"/>
              </w:rPr>
              <w:t xml:space="preserve"> resolves to:</w:t>
            </w:r>
          </w:p>
          <w:p w:rsidR="00B03503" w:rsidRPr="006B780A" w:rsidRDefault="00B03503" w:rsidP="000C6786">
            <w:pPr>
              <w:jc w:val="both"/>
              <w:rPr>
                <w:rFonts w:cs="Arial"/>
              </w:rPr>
            </w:pPr>
          </w:p>
        </w:tc>
      </w:tr>
      <w:tr w:rsidR="0030208D" w:rsidRPr="006B780A" w:rsidTr="00A46E98">
        <w:trPr>
          <w:trHeight w:val="283"/>
        </w:trPr>
        <w:tc>
          <w:tcPr>
            <w:tcW w:w="426" w:type="dxa"/>
            <w:tcBorders>
              <w:top w:val="single" w:sz="8" w:space="0" w:color="000000"/>
              <w:left w:val="single" w:sz="8" w:space="0" w:color="000000"/>
              <w:bottom w:val="nil"/>
              <w:right w:val="nil"/>
            </w:tcBorders>
          </w:tcPr>
          <w:p w:rsidR="00B03503" w:rsidRDefault="00B03503" w:rsidP="000C6786">
            <w:pPr>
              <w:jc w:val="both"/>
              <w:rPr>
                <w:rFonts w:cs="Arial"/>
              </w:rPr>
            </w:pPr>
            <w:bookmarkStart w:id="0" w:name="_GoBack" w:colFirst="1" w:colLast="1"/>
          </w:p>
          <w:p w:rsidR="0030208D" w:rsidRPr="006B780A" w:rsidRDefault="00046D2B" w:rsidP="000C6786">
            <w:pPr>
              <w:jc w:val="both"/>
              <w:rPr>
                <w:rFonts w:cs="Arial"/>
              </w:rPr>
            </w:pPr>
            <w:r w:rsidRPr="006B780A">
              <w:rPr>
                <w:rFonts w:cs="Arial"/>
              </w:rPr>
              <w:t>1.</w:t>
            </w:r>
          </w:p>
        </w:tc>
        <w:tc>
          <w:tcPr>
            <w:tcW w:w="8419" w:type="dxa"/>
            <w:gridSpan w:val="2"/>
            <w:tcBorders>
              <w:top w:val="single" w:sz="8" w:space="0" w:color="000000"/>
              <w:left w:val="nil"/>
              <w:bottom w:val="nil"/>
              <w:right w:val="single" w:sz="8" w:space="0" w:color="000000"/>
            </w:tcBorders>
            <w:shd w:val="clear" w:color="auto" w:fill="auto"/>
          </w:tcPr>
          <w:p w:rsidR="00B03503" w:rsidRDefault="00B03503" w:rsidP="000C6786">
            <w:pPr>
              <w:jc w:val="both"/>
              <w:rPr>
                <w:rFonts w:cs="Arial"/>
              </w:rPr>
            </w:pPr>
          </w:p>
          <w:p w:rsidR="0030208D" w:rsidRPr="006B780A" w:rsidRDefault="00A04C40" w:rsidP="000C6786">
            <w:pPr>
              <w:jc w:val="both"/>
              <w:rPr>
                <w:rFonts w:cs="Arial"/>
              </w:rPr>
            </w:pPr>
            <w:r w:rsidRPr="006F33E0">
              <w:rPr>
                <w:rFonts w:cs="Arial"/>
                <w:b/>
              </w:rPr>
              <w:t>Note</w:t>
            </w:r>
            <w:r w:rsidRPr="006B780A">
              <w:rPr>
                <w:rFonts w:cs="Arial"/>
              </w:rPr>
              <w:t xml:space="preserve"> the progress made by Barton Oxford LLP in bringing forward development at Barton Park</w:t>
            </w:r>
            <w:r w:rsidR="006F33E0">
              <w:rPr>
                <w:rFonts w:cs="Arial"/>
              </w:rPr>
              <w:t>;</w:t>
            </w:r>
          </w:p>
        </w:tc>
      </w:tr>
      <w:tr w:rsidR="0030208D" w:rsidRPr="006B780A" w:rsidTr="00A46E98">
        <w:trPr>
          <w:trHeight w:val="283"/>
        </w:trPr>
        <w:tc>
          <w:tcPr>
            <w:tcW w:w="426" w:type="dxa"/>
            <w:tcBorders>
              <w:top w:val="nil"/>
              <w:left w:val="single" w:sz="8" w:space="0" w:color="000000"/>
              <w:bottom w:val="nil"/>
              <w:right w:val="nil"/>
            </w:tcBorders>
          </w:tcPr>
          <w:p w:rsidR="0030208D" w:rsidRPr="006B780A" w:rsidRDefault="00046D2B" w:rsidP="000C6786">
            <w:pPr>
              <w:jc w:val="both"/>
              <w:rPr>
                <w:rFonts w:cs="Arial"/>
              </w:rPr>
            </w:pPr>
            <w:r w:rsidRPr="006B780A">
              <w:rPr>
                <w:rFonts w:cs="Arial"/>
              </w:rPr>
              <w:t>2.</w:t>
            </w:r>
          </w:p>
        </w:tc>
        <w:tc>
          <w:tcPr>
            <w:tcW w:w="8419" w:type="dxa"/>
            <w:gridSpan w:val="2"/>
            <w:tcBorders>
              <w:top w:val="nil"/>
              <w:left w:val="nil"/>
              <w:bottom w:val="nil"/>
              <w:right w:val="single" w:sz="8" w:space="0" w:color="000000"/>
            </w:tcBorders>
            <w:shd w:val="clear" w:color="auto" w:fill="auto"/>
          </w:tcPr>
          <w:p w:rsidR="0030208D" w:rsidRPr="006B780A" w:rsidRDefault="00A04C40" w:rsidP="000C6786">
            <w:pPr>
              <w:jc w:val="both"/>
              <w:rPr>
                <w:rFonts w:cs="Arial"/>
              </w:rPr>
            </w:pPr>
            <w:r w:rsidRPr="006F33E0">
              <w:rPr>
                <w:rFonts w:cs="Arial"/>
                <w:b/>
              </w:rPr>
              <w:t>Note</w:t>
            </w:r>
            <w:r w:rsidRPr="006B780A">
              <w:rPr>
                <w:rFonts w:cs="Arial"/>
              </w:rPr>
              <w:t xml:space="preserve"> the current financial position in relation to potential payments from the Joint Venture</w:t>
            </w:r>
            <w:r w:rsidR="006F33E0">
              <w:rPr>
                <w:rFonts w:cs="Arial"/>
              </w:rPr>
              <w:t>;</w:t>
            </w:r>
            <w:r w:rsidRPr="006B780A">
              <w:rPr>
                <w:rFonts w:cs="Arial"/>
              </w:rPr>
              <w:t xml:space="preserve"> </w:t>
            </w:r>
          </w:p>
        </w:tc>
      </w:tr>
      <w:tr w:rsidR="00232F5B" w:rsidRPr="006B780A" w:rsidTr="00A46E98">
        <w:trPr>
          <w:trHeight w:val="283"/>
        </w:trPr>
        <w:tc>
          <w:tcPr>
            <w:tcW w:w="426" w:type="dxa"/>
            <w:tcBorders>
              <w:top w:val="nil"/>
              <w:left w:val="single" w:sz="8" w:space="0" w:color="000000"/>
              <w:bottom w:val="nil"/>
              <w:right w:val="nil"/>
            </w:tcBorders>
          </w:tcPr>
          <w:p w:rsidR="0030208D" w:rsidRPr="006B780A" w:rsidRDefault="00046D2B" w:rsidP="000C6786">
            <w:pPr>
              <w:jc w:val="both"/>
              <w:rPr>
                <w:rFonts w:cs="Arial"/>
              </w:rPr>
            </w:pPr>
            <w:r w:rsidRPr="006B780A">
              <w:rPr>
                <w:rFonts w:cs="Arial"/>
              </w:rPr>
              <w:t>3.</w:t>
            </w:r>
          </w:p>
        </w:tc>
        <w:tc>
          <w:tcPr>
            <w:tcW w:w="8419" w:type="dxa"/>
            <w:gridSpan w:val="2"/>
            <w:tcBorders>
              <w:top w:val="nil"/>
              <w:left w:val="nil"/>
              <w:bottom w:val="nil"/>
              <w:right w:val="single" w:sz="8" w:space="0" w:color="000000"/>
            </w:tcBorders>
            <w:shd w:val="clear" w:color="auto" w:fill="auto"/>
          </w:tcPr>
          <w:p w:rsidR="0030208D" w:rsidRPr="00CD3016" w:rsidRDefault="00A04C40" w:rsidP="000C6786">
            <w:pPr>
              <w:jc w:val="both"/>
              <w:rPr>
                <w:rFonts w:cs="Arial"/>
              </w:rPr>
            </w:pPr>
            <w:r w:rsidRPr="006F33E0">
              <w:rPr>
                <w:rFonts w:cs="Arial"/>
                <w:b/>
              </w:rPr>
              <w:t>Note</w:t>
            </w:r>
            <w:r w:rsidRPr="006B780A">
              <w:rPr>
                <w:rFonts w:cs="Arial"/>
              </w:rPr>
              <w:t xml:space="preserve"> the progress of the purchase of affordable housing on the site and the arrangements between the </w:t>
            </w:r>
            <w:r w:rsidR="00E41E74">
              <w:rPr>
                <w:rFonts w:cs="Arial"/>
              </w:rPr>
              <w:t>Council</w:t>
            </w:r>
            <w:r w:rsidRPr="006B780A">
              <w:rPr>
                <w:rFonts w:cs="Arial"/>
              </w:rPr>
              <w:t xml:space="preserve"> and its Housing Company (OCHIL) for ownership</w:t>
            </w:r>
            <w:r w:rsidR="006F33E0">
              <w:rPr>
                <w:rFonts w:cs="Arial"/>
              </w:rPr>
              <w:t>; and</w:t>
            </w:r>
          </w:p>
        </w:tc>
      </w:tr>
      <w:tr w:rsidR="00232F5B" w:rsidRPr="006B780A" w:rsidTr="00A46E98">
        <w:trPr>
          <w:trHeight w:val="283"/>
        </w:trPr>
        <w:tc>
          <w:tcPr>
            <w:tcW w:w="426" w:type="dxa"/>
            <w:tcBorders>
              <w:top w:val="nil"/>
              <w:left w:val="single" w:sz="8" w:space="0" w:color="000000"/>
              <w:bottom w:val="nil"/>
              <w:right w:val="nil"/>
            </w:tcBorders>
          </w:tcPr>
          <w:p w:rsidR="0030208D" w:rsidRPr="006B780A" w:rsidRDefault="00B03503" w:rsidP="000C6786">
            <w:pPr>
              <w:jc w:val="both"/>
              <w:rPr>
                <w:rFonts w:cs="Arial"/>
              </w:rPr>
            </w:pPr>
            <w:r>
              <w:rPr>
                <w:rFonts w:cs="Arial"/>
              </w:rPr>
              <w:t>4</w:t>
            </w:r>
            <w:r w:rsidRPr="006B780A">
              <w:rPr>
                <w:rFonts w:cs="Arial"/>
              </w:rPr>
              <w:t>.</w:t>
            </w:r>
          </w:p>
        </w:tc>
        <w:tc>
          <w:tcPr>
            <w:tcW w:w="8419" w:type="dxa"/>
            <w:gridSpan w:val="2"/>
            <w:tcBorders>
              <w:top w:val="nil"/>
              <w:left w:val="nil"/>
              <w:bottom w:val="nil"/>
              <w:right w:val="single" w:sz="8" w:space="0" w:color="000000"/>
            </w:tcBorders>
            <w:shd w:val="clear" w:color="auto" w:fill="auto"/>
          </w:tcPr>
          <w:p w:rsidR="0030208D" w:rsidRPr="006D0F11" w:rsidRDefault="00B03503" w:rsidP="00064644">
            <w:pPr>
              <w:jc w:val="both"/>
              <w:rPr>
                <w:rFonts w:cs="Arial"/>
              </w:rPr>
            </w:pPr>
            <w:r w:rsidRPr="006F33E0">
              <w:rPr>
                <w:rFonts w:cs="Arial"/>
                <w:b/>
                <w:color w:val="auto"/>
              </w:rPr>
              <w:t>Require</w:t>
            </w:r>
            <w:r w:rsidRPr="00CD3016">
              <w:rPr>
                <w:rFonts w:cs="Arial"/>
                <w:color w:val="auto"/>
              </w:rPr>
              <w:t xml:space="preserve"> </w:t>
            </w:r>
            <w:r w:rsidR="00403332">
              <w:rPr>
                <w:rFonts w:cs="Arial"/>
                <w:color w:val="auto"/>
              </w:rPr>
              <w:t>quarterly</w:t>
            </w:r>
            <w:r w:rsidRPr="00CD3016">
              <w:rPr>
                <w:rFonts w:cs="Arial"/>
                <w:color w:val="auto"/>
              </w:rPr>
              <w:t xml:space="preserve"> report</w:t>
            </w:r>
            <w:r w:rsidR="00403332">
              <w:rPr>
                <w:rFonts w:cs="Arial"/>
                <w:color w:val="auto"/>
              </w:rPr>
              <w:t>s</w:t>
            </w:r>
            <w:r w:rsidRPr="00CD3016">
              <w:rPr>
                <w:rFonts w:cs="Arial"/>
                <w:color w:val="auto"/>
              </w:rPr>
              <w:t xml:space="preserve"> </w:t>
            </w:r>
            <w:r w:rsidR="00403332">
              <w:rPr>
                <w:rFonts w:cs="Arial"/>
                <w:color w:val="auto"/>
              </w:rPr>
              <w:t xml:space="preserve">to </w:t>
            </w:r>
            <w:r w:rsidRPr="00CD3016">
              <w:rPr>
                <w:rFonts w:cs="Arial"/>
                <w:color w:val="auto"/>
              </w:rPr>
              <w:t xml:space="preserve">be made to </w:t>
            </w:r>
            <w:r w:rsidR="00403332">
              <w:rPr>
                <w:rFonts w:cs="Arial"/>
                <w:color w:val="auto"/>
              </w:rPr>
              <w:t xml:space="preserve">the Council’s Shareholder </w:t>
            </w:r>
            <w:r w:rsidR="00064644">
              <w:rPr>
                <w:rFonts w:cs="Arial"/>
                <w:color w:val="auto"/>
              </w:rPr>
              <w:t>body (which will have an expanded remit to receive reports</w:t>
            </w:r>
            <w:r w:rsidR="00064644" w:rsidRPr="00064644">
              <w:rPr>
                <w:rFonts w:cs="Arial"/>
                <w:color w:val="auto"/>
              </w:rPr>
              <w:t xml:space="preserve"> from companies and joint ventures which do not have sharehol</w:t>
            </w:r>
            <w:r w:rsidR="00064644">
              <w:rPr>
                <w:rFonts w:cs="Arial"/>
                <w:color w:val="auto"/>
              </w:rPr>
              <w:t xml:space="preserve">ders, such as Barton Oxford LLP) </w:t>
            </w:r>
            <w:r w:rsidRPr="00CD3016">
              <w:rPr>
                <w:rFonts w:cs="Arial"/>
                <w:color w:val="auto"/>
              </w:rPr>
              <w:t>on the overall progress of the Barton Park development, to include information on overall delivery of housing, with particular reference to social rented homes, and the financial performance of the project in general.</w:t>
            </w:r>
          </w:p>
        </w:tc>
      </w:tr>
      <w:bookmarkEnd w:id="0"/>
      <w:tr w:rsidR="00232F5B" w:rsidRPr="006B780A" w:rsidTr="00A46E98">
        <w:trPr>
          <w:trHeight w:val="283"/>
        </w:trPr>
        <w:tc>
          <w:tcPr>
            <w:tcW w:w="426" w:type="dxa"/>
            <w:tcBorders>
              <w:top w:val="nil"/>
              <w:left w:val="single" w:sz="8" w:space="0" w:color="000000"/>
              <w:bottom w:val="single" w:sz="8" w:space="0" w:color="000000"/>
              <w:right w:val="nil"/>
            </w:tcBorders>
          </w:tcPr>
          <w:p w:rsidR="0030208D" w:rsidRPr="006B780A" w:rsidRDefault="0030208D" w:rsidP="000C6786">
            <w:pPr>
              <w:jc w:val="both"/>
              <w:rPr>
                <w:rFonts w:cs="Arial"/>
              </w:rPr>
            </w:pPr>
          </w:p>
        </w:tc>
        <w:tc>
          <w:tcPr>
            <w:tcW w:w="8419" w:type="dxa"/>
            <w:gridSpan w:val="2"/>
            <w:tcBorders>
              <w:top w:val="nil"/>
              <w:left w:val="nil"/>
              <w:bottom w:val="single" w:sz="8" w:space="0" w:color="000000"/>
              <w:right w:val="single" w:sz="8" w:space="0" w:color="000000"/>
            </w:tcBorders>
            <w:shd w:val="clear" w:color="auto" w:fill="auto"/>
          </w:tcPr>
          <w:p w:rsidR="0030208D" w:rsidRPr="006B780A" w:rsidRDefault="0030208D" w:rsidP="000C6786">
            <w:pPr>
              <w:jc w:val="both"/>
              <w:rPr>
                <w:rFonts w:cs="Arial"/>
              </w:rPr>
            </w:pPr>
          </w:p>
        </w:tc>
      </w:tr>
    </w:tbl>
    <w:p w:rsidR="0040736F" w:rsidRPr="006B780A" w:rsidRDefault="00F66DCA" w:rsidP="000C6786">
      <w:pPr>
        <w:pStyle w:val="Heading1"/>
        <w:jc w:val="both"/>
        <w:rPr>
          <w:rFonts w:cs="Arial"/>
        </w:rPr>
      </w:pPr>
      <w:r w:rsidRPr="006B780A">
        <w:rPr>
          <w:rFonts w:cs="Arial"/>
        </w:rPr>
        <w:lastRenderedPageBreak/>
        <w:t>Introduction and b</w:t>
      </w:r>
      <w:r w:rsidR="00151888" w:rsidRPr="006B780A">
        <w:rPr>
          <w:rFonts w:cs="Arial"/>
        </w:rPr>
        <w:t>ackground</w:t>
      </w:r>
      <w:r w:rsidR="00404032" w:rsidRPr="006B780A">
        <w:rPr>
          <w:rFonts w:cs="Arial"/>
        </w:rPr>
        <w:t xml:space="preserve"> </w:t>
      </w:r>
    </w:p>
    <w:p w:rsidR="005F093C" w:rsidRDefault="00532693" w:rsidP="000C6786">
      <w:pPr>
        <w:pStyle w:val="ListParagraph"/>
        <w:jc w:val="both"/>
        <w:rPr>
          <w:rFonts w:cs="Arial"/>
        </w:rPr>
      </w:pPr>
      <w:r w:rsidRPr="005F093C">
        <w:rPr>
          <w:rFonts w:cs="Arial"/>
        </w:rPr>
        <w:t>The land was a strategic housing site that had been in Council ownership since the 1940/50s</w:t>
      </w:r>
      <w:r w:rsidR="005F093C" w:rsidRPr="005F093C">
        <w:rPr>
          <w:rFonts w:cs="Arial"/>
        </w:rPr>
        <w:t>,</w:t>
      </w:r>
      <w:r w:rsidRPr="005F093C">
        <w:rPr>
          <w:rFonts w:cs="Arial"/>
        </w:rPr>
        <w:t xml:space="preserve"> which had not been brought forward for development due to significant challenges including: contamination, access arrangements, and high S106 requirements (such as the need to fund a new school on site).This pre-dated the Housing Revenue Account reforms and so options for bringing the site forward and deliver</w:t>
      </w:r>
      <w:r w:rsidR="00436339">
        <w:rPr>
          <w:rFonts w:cs="Arial"/>
        </w:rPr>
        <w:t>ing</w:t>
      </w:r>
      <w:r w:rsidRPr="005F093C">
        <w:rPr>
          <w:rFonts w:cs="Arial"/>
        </w:rPr>
        <w:t xml:space="preserve"> a significant number of affordable homes were limited.</w:t>
      </w:r>
      <w:r w:rsidR="005F093C" w:rsidRPr="005F093C">
        <w:rPr>
          <w:rFonts w:cs="Arial"/>
        </w:rPr>
        <w:t xml:space="preserve"> The Council was determined to find a way to bring forward much needed development and explored a number of options. </w:t>
      </w:r>
      <w:r w:rsidR="00F578AE" w:rsidRPr="005F093C">
        <w:rPr>
          <w:rFonts w:cs="Arial"/>
        </w:rPr>
        <w:t xml:space="preserve">In 2011 </w:t>
      </w:r>
      <w:r w:rsidR="005F093C" w:rsidRPr="005F093C">
        <w:rPr>
          <w:rFonts w:cs="Arial"/>
        </w:rPr>
        <w:t>t</w:t>
      </w:r>
      <w:r w:rsidR="00F578AE" w:rsidRPr="005F093C">
        <w:rPr>
          <w:rFonts w:cs="Arial"/>
        </w:rPr>
        <w:t xml:space="preserve">he </w:t>
      </w:r>
      <w:r w:rsidR="00E41E74" w:rsidRPr="005F093C">
        <w:rPr>
          <w:rFonts w:cs="Arial"/>
        </w:rPr>
        <w:t>Council</w:t>
      </w:r>
      <w:r w:rsidR="00F578AE" w:rsidRPr="005F093C">
        <w:rPr>
          <w:rFonts w:cs="Arial"/>
        </w:rPr>
        <w:t xml:space="preserve"> entered into a joint venture</w:t>
      </w:r>
      <w:r w:rsidR="00EA4CA6" w:rsidRPr="005F093C">
        <w:rPr>
          <w:rFonts w:cs="Arial"/>
        </w:rPr>
        <w:t xml:space="preserve"> (JV)</w:t>
      </w:r>
      <w:r w:rsidR="00F578AE" w:rsidRPr="005F093C">
        <w:rPr>
          <w:rFonts w:cs="Arial"/>
        </w:rPr>
        <w:t xml:space="preserve"> with Grosvenor Developments Ltd, kn</w:t>
      </w:r>
      <w:r w:rsidR="005F093C" w:rsidRPr="005F093C">
        <w:rPr>
          <w:rFonts w:cs="Arial"/>
        </w:rPr>
        <w:t xml:space="preserve">own as Barton Oxford LLP (BOLLP) to enable the delivery of a new development now </w:t>
      </w:r>
      <w:r w:rsidR="005F093C" w:rsidRPr="006B780A">
        <w:rPr>
          <w:rFonts w:cs="Arial"/>
        </w:rPr>
        <w:t>known as Barton Park</w:t>
      </w:r>
      <w:r w:rsidR="005F093C">
        <w:rPr>
          <w:rFonts w:cs="Arial"/>
        </w:rPr>
        <w:t xml:space="preserve">. </w:t>
      </w:r>
      <w:r w:rsidR="005F093C" w:rsidRPr="005F093C">
        <w:rPr>
          <w:rFonts w:cs="Arial"/>
        </w:rPr>
        <w:t>This was an innovative approach at the</w:t>
      </w:r>
      <w:r w:rsidR="005F093C">
        <w:rPr>
          <w:rFonts w:cs="Arial"/>
        </w:rPr>
        <w:t xml:space="preserve"> time</w:t>
      </w:r>
      <w:r w:rsidR="005F093C" w:rsidRPr="006B780A">
        <w:rPr>
          <w:rFonts w:cs="Arial"/>
        </w:rPr>
        <w:t xml:space="preserve">. </w:t>
      </w:r>
    </w:p>
    <w:p w:rsidR="005F3A17" w:rsidRPr="005F093C" w:rsidRDefault="005F3A17" w:rsidP="000C6786">
      <w:pPr>
        <w:pStyle w:val="ListParagraph"/>
        <w:jc w:val="both"/>
        <w:rPr>
          <w:rFonts w:cs="Arial"/>
        </w:rPr>
      </w:pPr>
      <w:r>
        <w:t>The Council</w:t>
      </w:r>
      <w:r w:rsidR="005F093C">
        <w:t xml:space="preserve"> had</w:t>
      </w:r>
      <w:r>
        <w:t xml:space="preserve"> identified that Barton Park offered a once-in-a-generation opportunity</w:t>
      </w:r>
      <w:r w:rsidR="002376C8">
        <w:t xml:space="preserve"> not only</w:t>
      </w:r>
      <w:r>
        <w:t xml:space="preserve"> to provide a large number of new homes and associated facilities </w:t>
      </w:r>
      <w:r w:rsidR="002376C8">
        <w:t>but to also</w:t>
      </w:r>
      <w:r w:rsidR="005F093C">
        <w:t xml:space="preserve"> develop </w:t>
      </w:r>
      <w:r>
        <w:t xml:space="preserve">a thriving and vibrant new community as part of the city. The aim was to create a place that has its own distinctive identity </w:t>
      </w:r>
      <w:r w:rsidR="005F093C">
        <w:t>but that is</w:t>
      </w:r>
      <w:r>
        <w:t xml:space="preserve"> integrated with the communities around it. A </w:t>
      </w:r>
      <w:r w:rsidR="002376C8">
        <w:t>critical</w:t>
      </w:r>
      <w:r>
        <w:t xml:space="preserve"> feature of the plan was that the existing communities close to the development should benefit through providing access to new community facilities and other services; through making better links to the rest of Oxford and the surrounding countryside; by returning pockets of </w:t>
      </w:r>
      <w:r w:rsidR="00FC35B2">
        <w:t>grazing</w:t>
      </w:r>
      <w:r>
        <w:t xml:space="preserve"> land to good use; and by linking local people to the economic opportunities generated by the new development.</w:t>
      </w:r>
    </w:p>
    <w:p w:rsidR="00FC35B2" w:rsidRPr="008F5EB5" w:rsidRDefault="00FC35B2" w:rsidP="000C6786">
      <w:pPr>
        <w:pStyle w:val="ListParagraph"/>
        <w:jc w:val="both"/>
        <w:rPr>
          <w:rFonts w:cs="Arial"/>
        </w:rPr>
      </w:pPr>
      <w:r>
        <w:t>There has been extensive engagement and consultation with the local communities from the outset. The City Council worked with a Barton and Northway residents working group a</w:t>
      </w:r>
      <w:r w:rsidR="00A5158A">
        <w:t xml:space="preserve">s well as </w:t>
      </w:r>
      <w:r>
        <w:t xml:space="preserve">other interested groups and widely consulted in developing the Area Action Plan which was adopted in December </w:t>
      </w:r>
      <w:r w:rsidR="00F849DB">
        <w:t xml:space="preserve">2012. </w:t>
      </w:r>
      <w:r>
        <w:t xml:space="preserve">Both the City Council and the JV </w:t>
      </w:r>
      <w:r w:rsidR="005B6585">
        <w:t>meet regularly with a local group of interested parties</w:t>
      </w:r>
      <w:r w:rsidR="00FA06BA">
        <w:t xml:space="preserve"> (Barton Integration and Community Engagement Partnership</w:t>
      </w:r>
      <w:r w:rsidR="005B6585">
        <w:t xml:space="preserve"> </w:t>
      </w:r>
      <w:r w:rsidR="00FA06BA">
        <w:t>-</w:t>
      </w:r>
      <w:r w:rsidR="005B6585">
        <w:t xml:space="preserve"> </w:t>
      </w:r>
      <w:r w:rsidR="00F849DB">
        <w:t>BICEP)</w:t>
      </w:r>
      <w:r w:rsidR="005B6585">
        <w:t xml:space="preserve"> to discuss plans and </w:t>
      </w:r>
      <w:r w:rsidR="00F849DB">
        <w:t xml:space="preserve">progress. </w:t>
      </w:r>
      <w:r w:rsidR="005B6585">
        <w:t>This group ha</w:t>
      </w:r>
      <w:r w:rsidR="002376C8">
        <w:t>s</w:t>
      </w:r>
      <w:r w:rsidR="005B6585">
        <w:t xml:space="preserve"> been closely involved in a range of matters from street naming to helping shape exercise trails and wayfaring signage around the </w:t>
      </w:r>
      <w:r w:rsidR="00F849DB">
        <w:t xml:space="preserve">site. </w:t>
      </w:r>
      <w:r w:rsidR="00436339">
        <w:t>BO</w:t>
      </w:r>
      <w:r w:rsidR="005B6585">
        <w:t xml:space="preserve">LLP promotes this group to </w:t>
      </w:r>
      <w:r w:rsidR="00F849DB">
        <w:t>house builders</w:t>
      </w:r>
      <w:r w:rsidR="00A5158A">
        <w:t xml:space="preserve"> building at Barton Park</w:t>
      </w:r>
      <w:r w:rsidR="005B6585">
        <w:t xml:space="preserve"> who attend the meetings</w:t>
      </w:r>
      <w:r w:rsidR="00F849DB">
        <w:t>.</w:t>
      </w:r>
      <w:r w:rsidR="005B6585">
        <w:t xml:space="preserve">   </w:t>
      </w:r>
      <w:r>
        <w:t xml:space="preserve">    </w:t>
      </w:r>
    </w:p>
    <w:p w:rsidR="008F5EB5" w:rsidRPr="00CF69AF" w:rsidRDefault="00754AC6" w:rsidP="000C6786">
      <w:pPr>
        <w:pStyle w:val="ListParagraph"/>
        <w:jc w:val="both"/>
        <w:rPr>
          <w:rFonts w:cs="Arial"/>
        </w:rPr>
      </w:pPr>
      <w:r w:rsidRPr="000A3C51">
        <w:rPr>
          <w:rFonts w:cs="Arial"/>
          <w:color w:val="auto"/>
          <w:shd w:val="clear" w:color="auto" w:fill="FFFFFF"/>
        </w:rPr>
        <w:t xml:space="preserve">When construction is complete the 885-home development will include 354 homes </w:t>
      </w:r>
      <w:r w:rsidR="00A5158A">
        <w:rPr>
          <w:rFonts w:cs="Arial"/>
          <w:color w:val="auto"/>
          <w:shd w:val="clear" w:color="auto" w:fill="FFFFFF"/>
        </w:rPr>
        <w:t>(40% of total delivery) for</w:t>
      </w:r>
      <w:r w:rsidRPr="000A3C51">
        <w:rPr>
          <w:rFonts w:cs="Arial"/>
          <w:color w:val="auto"/>
          <w:shd w:val="clear" w:color="auto" w:fill="FFFFFF"/>
        </w:rPr>
        <w:t xml:space="preserve"> social rent, let through the </w:t>
      </w:r>
      <w:r w:rsidR="00F849DB">
        <w:rPr>
          <w:rFonts w:cs="Arial"/>
          <w:color w:val="auto"/>
          <w:shd w:val="clear" w:color="auto" w:fill="FFFFFF"/>
        </w:rPr>
        <w:t>C</w:t>
      </w:r>
      <w:r w:rsidRPr="000A3C51">
        <w:rPr>
          <w:rFonts w:cs="Arial"/>
          <w:color w:val="auto"/>
          <w:shd w:val="clear" w:color="auto" w:fill="FFFFFF"/>
        </w:rPr>
        <w:t xml:space="preserve">ouncil’s housing company to applicants </w:t>
      </w:r>
      <w:r w:rsidR="00DC1AEC">
        <w:rPr>
          <w:rFonts w:cs="Arial"/>
          <w:color w:val="auto"/>
          <w:shd w:val="clear" w:color="auto" w:fill="FFFFFF"/>
        </w:rPr>
        <w:t>from</w:t>
      </w:r>
      <w:r w:rsidRPr="000A3C51">
        <w:rPr>
          <w:rFonts w:cs="Arial"/>
          <w:color w:val="auto"/>
          <w:shd w:val="clear" w:color="auto" w:fill="FFFFFF"/>
        </w:rPr>
        <w:t xml:space="preserve"> the housing register</w:t>
      </w:r>
      <w:r w:rsidRPr="000A3C51">
        <w:rPr>
          <w:rFonts w:cs="Arial"/>
          <w:color w:val="auto"/>
        </w:rPr>
        <w:t>.</w:t>
      </w:r>
      <w:r>
        <w:rPr>
          <w:rFonts w:cs="Arial"/>
        </w:rPr>
        <w:t xml:space="preserve"> </w:t>
      </w:r>
      <w:r w:rsidR="008F5EB5" w:rsidRPr="00754AC6">
        <w:rPr>
          <w:rFonts w:cs="Arial"/>
        </w:rPr>
        <w:t xml:space="preserve">As well as a “tenure blind” mix of social and market housing Barton Park will </w:t>
      </w:r>
      <w:r w:rsidR="008F5EB5" w:rsidRPr="00191EAC">
        <w:rPr>
          <w:rFonts w:cs="Arial"/>
        </w:rPr>
        <w:t xml:space="preserve">include a new primary school with community hub, two children’s play areas, </w:t>
      </w:r>
      <w:r w:rsidR="00A5158A">
        <w:rPr>
          <w:rFonts w:cs="Arial"/>
        </w:rPr>
        <w:t xml:space="preserve">retail including </w:t>
      </w:r>
      <w:r w:rsidR="008F5EB5" w:rsidRPr="00191EAC">
        <w:rPr>
          <w:rFonts w:cs="Arial"/>
        </w:rPr>
        <w:t>a food store, and sports and leisure facilities.</w:t>
      </w:r>
      <w:r w:rsidR="008F5EB5" w:rsidRPr="00CF69AF">
        <w:rPr>
          <w:rFonts w:cs="Arial"/>
        </w:rPr>
        <w:t xml:space="preserve"> It will also include a 10-acre park, improvements to existing allotments, two civic squares and community gardens to encourage social integration of the new and existing communities.</w:t>
      </w:r>
    </w:p>
    <w:p w:rsidR="008F5EB5" w:rsidRDefault="008F5EB5" w:rsidP="000C6786">
      <w:pPr>
        <w:pStyle w:val="ListParagraph"/>
        <w:jc w:val="both"/>
      </w:pPr>
      <w:r w:rsidRPr="008F5EB5">
        <w:t xml:space="preserve">Encouraging healthy lifestyles is built into the fabric of the new development, which is also funding extensive health improvement activity in Barton’s existing community. This includes health and wellbeing activities in the community and the redevelopment of Barton Neighbourhood Centre to provide better GP, sports and community facilities. </w:t>
      </w:r>
    </w:p>
    <w:p w:rsidR="008F5EB5" w:rsidRPr="00754AC6" w:rsidRDefault="008F5EB5" w:rsidP="000C6786">
      <w:pPr>
        <w:pStyle w:val="ListParagraph"/>
        <w:jc w:val="both"/>
        <w:rPr>
          <w:rFonts w:cs="Arial"/>
        </w:rPr>
      </w:pPr>
      <w:r w:rsidRPr="00754AC6">
        <w:rPr>
          <w:rFonts w:cs="Arial"/>
        </w:rPr>
        <w:t>Barton Park has been recognised as an exemplar development</w:t>
      </w:r>
      <w:r w:rsidR="00754AC6" w:rsidRPr="00754AC6">
        <w:rPr>
          <w:rFonts w:cs="Arial"/>
        </w:rPr>
        <w:t>. It was</w:t>
      </w:r>
      <w:r w:rsidR="000C6786">
        <w:rPr>
          <w:rFonts w:cs="Arial"/>
        </w:rPr>
        <w:t xml:space="preserve"> also</w:t>
      </w:r>
      <w:r w:rsidR="00754AC6" w:rsidRPr="00754AC6">
        <w:rPr>
          <w:rFonts w:cs="Arial"/>
        </w:rPr>
        <w:t xml:space="preserve"> chosen as one of only ten sites in NHS England’s Healthy New Towns programme</w:t>
      </w:r>
      <w:r w:rsidR="002376C8">
        <w:rPr>
          <w:rFonts w:cs="Arial"/>
        </w:rPr>
        <w:t xml:space="preserve"> leveraging funding for programmes to reduce health inequality</w:t>
      </w:r>
      <w:r w:rsidR="00754AC6" w:rsidRPr="00C00B9D">
        <w:rPr>
          <w:rFonts w:cs="Arial"/>
        </w:rPr>
        <w:t>.</w:t>
      </w:r>
      <w:r w:rsidR="00DC1AEC">
        <w:rPr>
          <w:rFonts w:cs="Arial"/>
        </w:rPr>
        <w:t xml:space="preserve"> </w:t>
      </w:r>
      <w:r w:rsidR="00754AC6" w:rsidRPr="00C00B9D">
        <w:rPr>
          <w:rFonts w:cs="Arial"/>
        </w:rPr>
        <w:t xml:space="preserve">In </w:t>
      </w:r>
      <w:r w:rsidR="00754AC6" w:rsidRPr="00C00B9D">
        <w:rPr>
          <w:rFonts w:cs="Arial"/>
        </w:rPr>
        <w:lastRenderedPageBreak/>
        <w:t xml:space="preserve">April, Barton Park </w:t>
      </w:r>
      <w:r w:rsidR="00754AC6" w:rsidRPr="00191EAC">
        <w:rPr>
          <w:rFonts w:cs="Arial"/>
        </w:rPr>
        <w:t xml:space="preserve">was awarded best housing development in Oxfordshire at the 2019 Oxfordshire Property </w:t>
      </w:r>
      <w:r w:rsidR="00754AC6" w:rsidRPr="000A3C51">
        <w:rPr>
          <w:rFonts w:cs="Arial"/>
          <w:color w:val="auto"/>
        </w:rPr>
        <w:t>Festival</w:t>
      </w:r>
      <w:r w:rsidR="00754AC6">
        <w:rPr>
          <w:rFonts w:cs="Arial"/>
          <w:color w:val="auto"/>
        </w:rPr>
        <w:t>. I</w:t>
      </w:r>
      <w:r w:rsidR="00754AC6" w:rsidRPr="000A3C51">
        <w:rPr>
          <w:rFonts w:cs="Arial"/>
          <w:color w:val="auto"/>
        </w:rPr>
        <w:t>t h</w:t>
      </w:r>
      <w:r w:rsidR="00754AC6" w:rsidRPr="000A3C51">
        <w:rPr>
          <w:rFonts w:cs="Arial"/>
          <w:color w:val="auto"/>
          <w:shd w:val="clear" w:color="auto" w:fill="FFFFFF"/>
        </w:rPr>
        <w:t>as</w:t>
      </w:r>
      <w:r w:rsidR="00754AC6">
        <w:rPr>
          <w:rFonts w:cs="Arial"/>
          <w:color w:val="auto"/>
          <w:shd w:val="clear" w:color="auto" w:fill="FFFFFF"/>
        </w:rPr>
        <w:t xml:space="preserve"> also</w:t>
      </w:r>
      <w:r w:rsidR="00754AC6" w:rsidRPr="000A3C51">
        <w:rPr>
          <w:rFonts w:cs="Arial"/>
          <w:color w:val="auto"/>
          <w:shd w:val="clear" w:color="auto" w:fill="FFFFFF"/>
        </w:rPr>
        <w:t xml:space="preserve"> been shortlisted </w:t>
      </w:r>
      <w:r w:rsidR="005B6585">
        <w:rPr>
          <w:rFonts w:cs="Arial"/>
          <w:color w:val="auto"/>
          <w:shd w:val="clear" w:color="auto" w:fill="FFFFFF"/>
        </w:rPr>
        <w:t>in</w:t>
      </w:r>
      <w:r w:rsidR="00754AC6" w:rsidRPr="000A3C51">
        <w:rPr>
          <w:rFonts w:cs="Arial"/>
          <w:color w:val="auto"/>
          <w:shd w:val="clear" w:color="auto" w:fill="FFFFFF"/>
        </w:rPr>
        <w:t xml:space="preserve"> the Partnership Working category at the national Planning Awards 2019.</w:t>
      </w:r>
    </w:p>
    <w:p w:rsidR="00AC2B5E" w:rsidRPr="006B780A" w:rsidRDefault="00754AC6" w:rsidP="000C6786">
      <w:pPr>
        <w:pStyle w:val="ListParagraph"/>
        <w:jc w:val="both"/>
        <w:rPr>
          <w:rFonts w:cs="Arial"/>
        </w:rPr>
      </w:pPr>
      <w:r w:rsidRPr="006B780A">
        <w:rPr>
          <w:rFonts w:cs="Arial"/>
        </w:rPr>
        <w:t>I</w:t>
      </w:r>
      <w:r>
        <w:rPr>
          <w:rFonts w:cs="Arial"/>
        </w:rPr>
        <w:t>n developing the scheme, it</w:t>
      </w:r>
      <w:r w:rsidRPr="006B780A">
        <w:rPr>
          <w:rFonts w:cs="Arial"/>
        </w:rPr>
        <w:t xml:space="preserve"> </w:t>
      </w:r>
      <w:r w:rsidR="0034623F" w:rsidRPr="006B780A">
        <w:rPr>
          <w:rFonts w:cs="Arial"/>
        </w:rPr>
        <w:t xml:space="preserve">was acknowledged that the infrastructure costs </w:t>
      </w:r>
      <w:r w:rsidR="005F3A17">
        <w:rPr>
          <w:rFonts w:cs="Arial"/>
        </w:rPr>
        <w:t xml:space="preserve">of bringing the site forward </w:t>
      </w:r>
      <w:r w:rsidR="0034623F" w:rsidRPr="006B780A">
        <w:rPr>
          <w:rFonts w:cs="Arial"/>
        </w:rPr>
        <w:t>were sufficiently high</w:t>
      </w:r>
      <w:r w:rsidR="006B780A" w:rsidRPr="006B780A">
        <w:rPr>
          <w:rFonts w:cs="Arial"/>
        </w:rPr>
        <w:t xml:space="preserve">, </w:t>
      </w:r>
      <w:r w:rsidR="0034623F" w:rsidRPr="006B780A">
        <w:rPr>
          <w:rFonts w:cs="Arial"/>
        </w:rPr>
        <w:t>as to make the site unviable at a planning policy compliant 50 % affordable</w:t>
      </w:r>
      <w:r w:rsidR="00436339">
        <w:rPr>
          <w:rFonts w:cs="Arial"/>
        </w:rPr>
        <w:t xml:space="preserve"> housing</w:t>
      </w:r>
      <w:r w:rsidR="00DC1AEC">
        <w:rPr>
          <w:rFonts w:cs="Arial"/>
        </w:rPr>
        <w:t xml:space="preserve">. </w:t>
      </w:r>
      <w:r w:rsidR="0034623F" w:rsidRPr="006B780A">
        <w:rPr>
          <w:rFonts w:cs="Arial"/>
        </w:rPr>
        <w:t xml:space="preserve">On </w:t>
      </w:r>
      <w:r w:rsidR="00615557" w:rsidRPr="006B780A">
        <w:rPr>
          <w:rFonts w:cs="Arial"/>
        </w:rPr>
        <w:t>10</w:t>
      </w:r>
      <w:r w:rsidR="00615557" w:rsidRPr="006B780A">
        <w:rPr>
          <w:rFonts w:cs="Arial"/>
          <w:vertAlign w:val="superscript"/>
        </w:rPr>
        <w:t>th</w:t>
      </w:r>
      <w:r w:rsidR="00615557" w:rsidRPr="006B780A">
        <w:rPr>
          <w:rFonts w:cs="Arial"/>
        </w:rPr>
        <w:t xml:space="preserve"> November 2010 </w:t>
      </w:r>
      <w:r w:rsidR="00986FD9">
        <w:rPr>
          <w:rFonts w:cs="Arial"/>
        </w:rPr>
        <w:t>the Council’s City Executive Board (</w:t>
      </w:r>
      <w:r w:rsidR="0034623F" w:rsidRPr="006B780A">
        <w:rPr>
          <w:rFonts w:cs="Arial"/>
        </w:rPr>
        <w:t>CEB</w:t>
      </w:r>
      <w:r w:rsidR="00986FD9">
        <w:rPr>
          <w:rFonts w:cs="Arial"/>
        </w:rPr>
        <w:t>)</w:t>
      </w:r>
      <w:r w:rsidR="0034623F" w:rsidRPr="006B780A">
        <w:rPr>
          <w:rFonts w:cs="Arial"/>
        </w:rPr>
        <w:t xml:space="preserve"> agreed to reduce the requirement for affordable housing to 40%,</w:t>
      </w:r>
      <w:r w:rsidR="00DC1AEC">
        <w:rPr>
          <w:rFonts w:cs="Arial"/>
        </w:rPr>
        <w:t xml:space="preserve"> </w:t>
      </w:r>
      <w:r w:rsidR="0034623F" w:rsidRPr="006B780A">
        <w:rPr>
          <w:rFonts w:cs="Arial"/>
        </w:rPr>
        <w:t>although all of this would be</w:t>
      </w:r>
      <w:r w:rsidR="00DC1AEC">
        <w:rPr>
          <w:rFonts w:cs="Arial"/>
        </w:rPr>
        <w:t xml:space="preserve"> for</w:t>
      </w:r>
      <w:r w:rsidR="0034623F" w:rsidRPr="006B780A">
        <w:rPr>
          <w:rFonts w:cs="Arial"/>
        </w:rPr>
        <w:t xml:space="preserve"> social rent</w:t>
      </w:r>
      <w:r w:rsidR="00DC1AEC">
        <w:rPr>
          <w:rFonts w:cs="Arial"/>
        </w:rPr>
        <w:t>.</w:t>
      </w:r>
      <w:r w:rsidR="0034623F" w:rsidRPr="006B780A">
        <w:rPr>
          <w:rFonts w:cs="Arial"/>
        </w:rPr>
        <w:t xml:space="preserve"> </w:t>
      </w:r>
    </w:p>
    <w:p w:rsidR="00D61BB5" w:rsidRPr="006B780A" w:rsidRDefault="00D61BB5" w:rsidP="000C6786">
      <w:pPr>
        <w:pStyle w:val="ListParagraph"/>
        <w:jc w:val="both"/>
        <w:rPr>
          <w:rFonts w:cs="Arial"/>
          <w:b/>
        </w:rPr>
      </w:pPr>
      <w:r w:rsidRPr="006B780A">
        <w:rPr>
          <w:rFonts w:cs="Arial"/>
        </w:rPr>
        <w:t xml:space="preserve">At the same meeting, CEB approved the approach to bring the site forward by way of a </w:t>
      </w:r>
      <w:r w:rsidR="00615557" w:rsidRPr="006B780A">
        <w:rPr>
          <w:rFonts w:cs="Arial"/>
        </w:rPr>
        <w:t>JV</w:t>
      </w:r>
      <w:r w:rsidRPr="006B780A">
        <w:rPr>
          <w:rFonts w:cs="Arial"/>
        </w:rPr>
        <w:t>. This approach was chosen after detailed research into multiple delivery options by expert advisors</w:t>
      </w:r>
      <w:r w:rsidR="00615557" w:rsidRPr="006B780A">
        <w:rPr>
          <w:rFonts w:cs="Arial"/>
        </w:rPr>
        <w:t>,</w:t>
      </w:r>
      <w:r w:rsidR="00853D2D">
        <w:rPr>
          <w:rFonts w:cs="Arial"/>
        </w:rPr>
        <w:t xml:space="preserve"> </w:t>
      </w:r>
      <w:r w:rsidR="00EC572A" w:rsidRPr="006B780A">
        <w:rPr>
          <w:rFonts w:cs="Arial"/>
        </w:rPr>
        <w:t xml:space="preserve">and </w:t>
      </w:r>
      <w:r w:rsidR="00AC2B5E" w:rsidRPr="006B780A">
        <w:rPr>
          <w:rFonts w:cs="Arial"/>
        </w:rPr>
        <w:t>i</w:t>
      </w:r>
      <w:r w:rsidRPr="006B780A">
        <w:rPr>
          <w:rFonts w:cs="Arial"/>
        </w:rPr>
        <w:t>t was confirmed as the pr</w:t>
      </w:r>
      <w:r w:rsidR="00AC2B5E" w:rsidRPr="006B780A">
        <w:rPr>
          <w:rFonts w:cs="Arial"/>
        </w:rPr>
        <w:t>e</w:t>
      </w:r>
      <w:r w:rsidRPr="006B780A">
        <w:rPr>
          <w:rFonts w:cs="Arial"/>
        </w:rPr>
        <w:t>fe</w:t>
      </w:r>
      <w:r w:rsidR="00AC2B5E" w:rsidRPr="006B780A">
        <w:rPr>
          <w:rFonts w:cs="Arial"/>
        </w:rPr>
        <w:t>r</w:t>
      </w:r>
      <w:r w:rsidRPr="006B780A">
        <w:rPr>
          <w:rFonts w:cs="Arial"/>
        </w:rPr>
        <w:t>red option against a number of criteria which included</w:t>
      </w:r>
      <w:r w:rsidR="00DC1AEC">
        <w:rPr>
          <w:rFonts w:cs="Arial"/>
        </w:rPr>
        <w:t xml:space="preserve"> a</w:t>
      </w:r>
      <w:r w:rsidRPr="006B780A">
        <w:rPr>
          <w:rFonts w:cs="Arial"/>
        </w:rPr>
        <w:t xml:space="preserve"> </w:t>
      </w:r>
      <w:r w:rsidR="00853D2D">
        <w:rPr>
          <w:rFonts w:cs="Arial"/>
        </w:rPr>
        <w:t xml:space="preserve">greater degree of </w:t>
      </w:r>
      <w:r w:rsidR="00E41E74">
        <w:rPr>
          <w:rFonts w:cs="Arial"/>
        </w:rPr>
        <w:t>Council</w:t>
      </w:r>
      <w:r w:rsidRPr="006B780A">
        <w:rPr>
          <w:rFonts w:cs="Arial"/>
        </w:rPr>
        <w:t xml:space="preserve"> control,</w:t>
      </w:r>
      <w:r w:rsidR="00DC1AEC">
        <w:rPr>
          <w:rFonts w:cs="Arial"/>
        </w:rPr>
        <w:t xml:space="preserve"> </w:t>
      </w:r>
      <w:r w:rsidRPr="006B780A">
        <w:rPr>
          <w:rFonts w:cs="Arial"/>
        </w:rPr>
        <w:t>deliverability in the prevailing market,</w:t>
      </w:r>
      <w:r w:rsidR="00853D2D">
        <w:rPr>
          <w:rFonts w:cs="Arial"/>
        </w:rPr>
        <w:t xml:space="preserve"> and</w:t>
      </w:r>
      <w:r w:rsidRPr="006B780A">
        <w:rPr>
          <w:rFonts w:cs="Arial"/>
        </w:rPr>
        <w:t xml:space="preserve"> </w:t>
      </w:r>
      <w:r w:rsidR="00A5158A">
        <w:rPr>
          <w:rFonts w:cs="Arial"/>
        </w:rPr>
        <w:t>managing the Council’s exposure to development risk.</w:t>
      </w:r>
      <w:r w:rsidRPr="006B780A">
        <w:rPr>
          <w:rFonts w:cs="Arial"/>
        </w:rPr>
        <w:t xml:space="preserve"> </w:t>
      </w:r>
      <w:r w:rsidR="00EA4CA6" w:rsidRPr="006B780A">
        <w:rPr>
          <w:rFonts w:cs="Arial"/>
        </w:rPr>
        <w:t>On the 25</w:t>
      </w:r>
      <w:r w:rsidR="00EA4CA6" w:rsidRPr="006B780A">
        <w:rPr>
          <w:rFonts w:cs="Arial"/>
          <w:vertAlign w:val="superscript"/>
        </w:rPr>
        <w:t>th</w:t>
      </w:r>
      <w:r w:rsidR="00EA4CA6" w:rsidRPr="006B780A">
        <w:rPr>
          <w:rFonts w:cs="Arial"/>
        </w:rPr>
        <w:t xml:space="preserve"> May 2011, CEB approved the selection of Grosvenor </w:t>
      </w:r>
      <w:r w:rsidR="00DC1AEC">
        <w:rPr>
          <w:rFonts w:cs="Arial"/>
        </w:rPr>
        <w:t>D</w:t>
      </w:r>
      <w:r w:rsidR="00EA4CA6" w:rsidRPr="006B780A">
        <w:rPr>
          <w:rFonts w:cs="Arial"/>
        </w:rPr>
        <w:t>evelopments Ltd (G</w:t>
      </w:r>
      <w:r w:rsidR="000C6786">
        <w:rPr>
          <w:rFonts w:cs="Arial"/>
        </w:rPr>
        <w:t>DL</w:t>
      </w:r>
      <w:r w:rsidR="00EA4CA6" w:rsidRPr="006B780A">
        <w:rPr>
          <w:rFonts w:cs="Arial"/>
        </w:rPr>
        <w:t>) as the preferred partner, agreed the basis of the JV</w:t>
      </w:r>
      <w:r w:rsidR="00DC1AEC">
        <w:rPr>
          <w:rFonts w:cs="Arial"/>
        </w:rPr>
        <w:t xml:space="preserve"> including</w:t>
      </w:r>
      <w:r w:rsidR="00EA4CA6" w:rsidRPr="006B780A">
        <w:rPr>
          <w:rFonts w:cs="Arial"/>
        </w:rPr>
        <w:t xml:space="preserve"> that the </w:t>
      </w:r>
      <w:r w:rsidR="00E41E74">
        <w:rPr>
          <w:rFonts w:cs="Arial"/>
        </w:rPr>
        <w:t>Council</w:t>
      </w:r>
      <w:r w:rsidR="00EA4CA6" w:rsidRPr="006B780A">
        <w:rPr>
          <w:rFonts w:cs="Arial"/>
        </w:rPr>
        <w:t xml:space="preserve">’s land would be transferred into the JV and </w:t>
      </w:r>
      <w:r w:rsidR="00DC1AEC">
        <w:rPr>
          <w:rFonts w:cs="Arial"/>
        </w:rPr>
        <w:t>the</w:t>
      </w:r>
      <w:r w:rsidR="00EA4CA6" w:rsidRPr="006B780A">
        <w:rPr>
          <w:rFonts w:cs="Arial"/>
        </w:rPr>
        <w:t xml:space="preserve"> Board and project </w:t>
      </w:r>
      <w:r w:rsidR="00A90B2D" w:rsidRPr="006B780A">
        <w:rPr>
          <w:rFonts w:cs="Arial"/>
        </w:rPr>
        <w:t>g</w:t>
      </w:r>
      <w:r w:rsidR="00EA4CA6" w:rsidRPr="006B780A">
        <w:rPr>
          <w:rFonts w:cs="Arial"/>
        </w:rPr>
        <w:t>roup</w:t>
      </w:r>
      <w:r w:rsidR="008F5EB5">
        <w:rPr>
          <w:rFonts w:cs="Arial"/>
        </w:rPr>
        <w:t xml:space="preserve"> </w:t>
      </w:r>
      <w:r w:rsidR="00EA4CA6" w:rsidRPr="006B780A">
        <w:rPr>
          <w:rFonts w:cs="Arial"/>
        </w:rPr>
        <w:t>arrangements.</w:t>
      </w:r>
      <w:r w:rsidR="00615557" w:rsidRPr="006B780A">
        <w:rPr>
          <w:rFonts w:cs="Arial"/>
        </w:rPr>
        <w:t xml:space="preserve"> </w:t>
      </w:r>
    </w:p>
    <w:p w:rsidR="008749EF" w:rsidRDefault="00EC572A" w:rsidP="000C6786">
      <w:pPr>
        <w:pStyle w:val="ListParagraph"/>
        <w:jc w:val="both"/>
        <w:rPr>
          <w:rFonts w:cs="Arial"/>
        </w:rPr>
      </w:pPr>
      <w:r w:rsidRPr="006B780A">
        <w:rPr>
          <w:rFonts w:cs="Arial"/>
        </w:rPr>
        <w:t xml:space="preserve">The </w:t>
      </w:r>
      <w:r w:rsidR="008F5EB5">
        <w:rPr>
          <w:rFonts w:cs="Arial"/>
        </w:rPr>
        <w:t>approach taken to the development was that the JV</w:t>
      </w:r>
      <w:r w:rsidRPr="006B780A">
        <w:rPr>
          <w:rFonts w:cs="Arial"/>
        </w:rPr>
        <w:t xml:space="preserve"> </w:t>
      </w:r>
      <w:r w:rsidR="00C00B9D">
        <w:rPr>
          <w:rFonts w:cs="Arial"/>
        </w:rPr>
        <w:t>(</w:t>
      </w:r>
      <w:r w:rsidRPr="006B780A">
        <w:rPr>
          <w:rFonts w:cs="Arial"/>
        </w:rPr>
        <w:t>BOLLP</w:t>
      </w:r>
      <w:r w:rsidR="00C00B9D">
        <w:rPr>
          <w:rFonts w:cs="Arial"/>
        </w:rPr>
        <w:t>)</w:t>
      </w:r>
      <w:r w:rsidRPr="006B780A">
        <w:rPr>
          <w:rFonts w:cs="Arial"/>
        </w:rPr>
        <w:t xml:space="preserve"> </w:t>
      </w:r>
      <w:r w:rsidR="006F5181">
        <w:rPr>
          <w:rFonts w:cs="Arial"/>
        </w:rPr>
        <w:t>gained</w:t>
      </w:r>
      <w:r w:rsidRPr="006B780A">
        <w:rPr>
          <w:rFonts w:cs="Arial"/>
        </w:rPr>
        <w:t xml:space="preserve"> outline planning permission for the whole site</w:t>
      </w:r>
      <w:r w:rsidR="006F5181">
        <w:rPr>
          <w:rFonts w:cs="Arial"/>
        </w:rPr>
        <w:t>,</w:t>
      </w:r>
      <w:r w:rsidRPr="006B780A">
        <w:rPr>
          <w:rFonts w:cs="Arial"/>
        </w:rPr>
        <w:t xml:space="preserve"> followed by reserved matters (RM) consent for the </w:t>
      </w:r>
      <w:r w:rsidR="006F5181" w:rsidRPr="006B780A">
        <w:rPr>
          <w:rFonts w:cs="Arial"/>
        </w:rPr>
        <w:t>a</w:t>
      </w:r>
      <w:r w:rsidR="006F5181">
        <w:rPr>
          <w:rFonts w:cs="Arial"/>
        </w:rPr>
        <w:t>spects which it was to deliver</w:t>
      </w:r>
      <w:r w:rsidRPr="006B780A">
        <w:rPr>
          <w:rFonts w:cs="Arial"/>
        </w:rPr>
        <w:t xml:space="preserve"> (infrastructure, pavilion, linear park and allotments</w:t>
      </w:r>
      <w:r w:rsidR="008B31BF" w:rsidRPr="006B780A">
        <w:rPr>
          <w:rFonts w:cs="Arial"/>
        </w:rPr>
        <w:t>)</w:t>
      </w:r>
      <w:r w:rsidRPr="006B780A">
        <w:rPr>
          <w:rFonts w:cs="Arial"/>
        </w:rPr>
        <w:t>.</w:t>
      </w:r>
      <w:r w:rsidR="006F5181">
        <w:rPr>
          <w:rFonts w:cs="Arial"/>
        </w:rPr>
        <w:t xml:space="preserve"> </w:t>
      </w:r>
      <w:r w:rsidR="00A90B2D" w:rsidRPr="006B780A">
        <w:rPr>
          <w:rFonts w:cs="Arial"/>
        </w:rPr>
        <w:t>It also provided the infrastructure including the main estate roads, drainage and new junction to the A40 Barton Village Road</w:t>
      </w:r>
      <w:r w:rsidR="00B21945">
        <w:rPr>
          <w:rFonts w:cs="Arial"/>
        </w:rPr>
        <w:t>. The infrastructure was developed upfront as the first stage of the development</w:t>
      </w:r>
      <w:r w:rsidR="00A90B2D" w:rsidRPr="006B780A">
        <w:rPr>
          <w:rFonts w:cs="Arial"/>
        </w:rPr>
        <w:t>.</w:t>
      </w:r>
      <w:r w:rsidR="00B21945">
        <w:rPr>
          <w:rFonts w:cs="Arial"/>
        </w:rPr>
        <w:t xml:space="preserve"> </w:t>
      </w:r>
      <w:r w:rsidRPr="006B780A">
        <w:rPr>
          <w:rFonts w:cs="Arial"/>
        </w:rPr>
        <w:t xml:space="preserve">This </w:t>
      </w:r>
      <w:r w:rsidR="006F5181">
        <w:rPr>
          <w:rFonts w:cs="Arial"/>
        </w:rPr>
        <w:t xml:space="preserve">approach </w:t>
      </w:r>
      <w:r w:rsidRPr="006B780A">
        <w:rPr>
          <w:rFonts w:cs="Arial"/>
        </w:rPr>
        <w:t>allows parcels of serviced land to be sold to house</w:t>
      </w:r>
      <w:r w:rsidR="00986FD9">
        <w:rPr>
          <w:rFonts w:cs="Arial"/>
        </w:rPr>
        <w:t xml:space="preserve"> </w:t>
      </w:r>
      <w:r w:rsidRPr="006B780A">
        <w:rPr>
          <w:rFonts w:cs="Arial"/>
        </w:rPr>
        <w:t>builders</w:t>
      </w:r>
      <w:r w:rsidR="00A90B2D" w:rsidRPr="006B780A">
        <w:rPr>
          <w:rFonts w:cs="Arial"/>
        </w:rPr>
        <w:t xml:space="preserve"> </w:t>
      </w:r>
      <w:r w:rsidR="00853D2D" w:rsidRPr="006B780A">
        <w:rPr>
          <w:rFonts w:cs="Arial"/>
        </w:rPr>
        <w:t>wh</w:t>
      </w:r>
      <w:r w:rsidR="00853D2D">
        <w:rPr>
          <w:rFonts w:cs="Arial"/>
        </w:rPr>
        <w:t>o</w:t>
      </w:r>
      <w:r w:rsidR="00853D2D" w:rsidRPr="006B780A">
        <w:rPr>
          <w:rFonts w:cs="Arial"/>
        </w:rPr>
        <w:t xml:space="preserve"> </w:t>
      </w:r>
      <w:r w:rsidRPr="006B780A">
        <w:rPr>
          <w:rFonts w:cs="Arial"/>
        </w:rPr>
        <w:t>can then apply for RM consent and build housing for sale to the market and  the 40% affordable (social rented) housing. Outline consent was granted in</w:t>
      </w:r>
      <w:r w:rsidR="008B31BF" w:rsidRPr="006B780A">
        <w:rPr>
          <w:rFonts w:cs="Arial"/>
        </w:rPr>
        <w:t xml:space="preserve"> October 2013</w:t>
      </w:r>
      <w:r w:rsidR="00DC1AEC">
        <w:rPr>
          <w:rFonts w:cs="Arial"/>
        </w:rPr>
        <w:t xml:space="preserve"> includ</w:t>
      </w:r>
      <w:r w:rsidR="00C95EFF">
        <w:rPr>
          <w:rFonts w:cs="Arial"/>
        </w:rPr>
        <w:t xml:space="preserve">ing </w:t>
      </w:r>
      <w:r w:rsidR="00DC1AEC">
        <w:rPr>
          <w:rFonts w:cs="Arial"/>
        </w:rPr>
        <w:t>a phasing plan.</w:t>
      </w:r>
      <w:r w:rsidR="008B31BF" w:rsidRPr="006B780A">
        <w:rPr>
          <w:rFonts w:cs="Arial"/>
        </w:rPr>
        <w:t xml:space="preserve"> </w:t>
      </w:r>
    </w:p>
    <w:p w:rsidR="00B21945" w:rsidRPr="000A3C51" w:rsidRDefault="00B21945" w:rsidP="000C6786">
      <w:pPr>
        <w:pStyle w:val="ListParagraph"/>
        <w:numPr>
          <w:ilvl w:val="0"/>
          <w:numId w:val="0"/>
        </w:numPr>
        <w:ind w:left="852" w:hanging="426"/>
        <w:jc w:val="both"/>
        <w:rPr>
          <w:rFonts w:cs="Arial"/>
          <w:b/>
        </w:rPr>
      </w:pPr>
      <w:r>
        <w:rPr>
          <w:rFonts w:cs="Arial"/>
          <w:b/>
        </w:rPr>
        <w:t>Progress to Date</w:t>
      </w:r>
    </w:p>
    <w:p w:rsidR="00780D55" w:rsidRPr="00780D55" w:rsidRDefault="00F66DAF" w:rsidP="000C6786">
      <w:pPr>
        <w:pStyle w:val="ListParagraph"/>
        <w:jc w:val="both"/>
        <w:rPr>
          <w:rFonts w:cs="Arial"/>
        </w:rPr>
      </w:pPr>
      <w:r>
        <w:t xml:space="preserve">The majority of the infrastructure works have been completed, with access from the A40 available to residents and potential purchasers within the first phase of the development.  Also </w:t>
      </w:r>
      <w:r w:rsidR="00C00B9D">
        <w:t xml:space="preserve">already </w:t>
      </w:r>
      <w:r>
        <w:t>available for use is the western play area and surrounding pond</w:t>
      </w:r>
      <w:r w:rsidR="00C00B9D">
        <w:t>. This will</w:t>
      </w:r>
      <w:r w:rsidR="00C42A30">
        <w:t xml:space="preserve"> </w:t>
      </w:r>
      <w:r>
        <w:t xml:space="preserve">  be followed by the remainder of the linear park for use from</w:t>
      </w:r>
      <w:r w:rsidR="00DC1AEC">
        <w:t xml:space="preserve"> the</w:t>
      </w:r>
      <w:r>
        <w:t xml:space="preserve"> summer</w:t>
      </w:r>
      <w:r w:rsidR="00DC1AEC">
        <w:t xml:space="preserve"> of</w:t>
      </w:r>
      <w:r>
        <w:t xml:space="preserve"> </w:t>
      </w:r>
      <w:r w:rsidR="00853D2D">
        <w:t>2019</w:t>
      </w:r>
      <w:r w:rsidR="00DC1AEC">
        <w:t>.</w:t>
      </w:r>
      <w:r>
        <w:t xml:space="preserve">The access from Barton Village Road to the </w:t>
      </w:r>
      <w:r w:rsidR="00C00B9D">
        <w:t>p</w:t>
      </w:r>
      <w:r>
        <w:t xml:space="preserve">avilion and sports facilities </w:t>
      </w:r>
      <w:r w:rsidR="00C00B9D">
        <w:t xml:space="preserve">will also be permanently available </w:t>
      </w:r>
      <w:r>
        <w:t>from</w:t>
      </w:r>
      <w:r w:rsidR="00DC1AEC">
        <w:t xml:space="preserve"> the</w:t>
      </w:r>
      <w:r>
        <w:t xml:space="preserve"> summer</w:t>
      </w:r>
      <w:r w:rsidR="00DC1AEC">
        <w:t xml:space="preserve"> of</w:t>
      </w:r>
      <w:r>
        <w:t xml:space="preserve"> </w:t>
      </w:r>
      <w:r w:rsidR="001D5566">
        <w:t>2019</w:t>
      </w:r>
      <w:r w:rsidR="00DC1AEC">
        <w:t>.</w:t>
      </w:r>
      <w:r>
        <w:t xml:space="preserve"> Final inspections from adopting authorities </w:t>
      </w:r>
      <w:r w:rsidR="00853D2D">
        <w:t xml:space="preserve">(the County </w:t>
      </w:r>
      <w:r w:rsidR="001D5566">
        <w:t>C</w:t>
      </w:r>
      <w:r w:rsidR="00853D2D">
        <w:t>ouncil</w:t>
      </w:r>
      <w:r w:rsidR="001D5566">
        <w:t xml:space="preserve"> and Thames </w:t>
      </w:r>
      <w:r w:rsidR="00986FD9">
        <w:t>Water)</w:t>
      </w:r>
      <w:r w:rsidR="00853D2D">
        <w:t xml:space="preserve"> </w:t>
      </w:r>
      <w:r>
        <w:t>are awaited to enable the infrastructure contract to be considered complete.</w:t>
      </w:r>
    </w:p>
    <w:p w:rsidR="006F33E0" w:rsidRDefault="00780D55" w:rsidP="006F33E0">
      <w:pPr>
        <w:pStyle w:val="ListParagraph"/>
        <w:jc w:val="both"/>
      </w:pPr>
      <w:r>
        <w:t xml:space="preserve">The </w:t>
      </w:r>
      <w:r w:rsidR="00765552">
        <w:t>site is being built out in</w:t>
      </w:r>
      <w:r w:rsidR="00DC1AEC">
        <w:t xml:space="preserve"> 4 main</w:t>
      </w:r>
      <w:r w:rsidR="00765552">
        <w:t xml:space="preserve"> phases</w:t>
      </w:r>
      <w:r w:rsidR="00DC1AEC">
        <w:t>.</w:t>
      </w:r>
      <w:r w:rsidR="00765552">
        <w:t xml:space="preserve"> </w:t>
      </w:r>
    </w:p>
    <w:p w:rsidR="006F33E0" w:rsidRDefault="006F33E0" w:rsidP="006F33E0">
      <w:pPr>
        <w:jc w:val="both"/>
      </w:pPr>
    </w:p>
    <w:p w:rsidR="006F33E0" w:rsidRDefault="006F33E0" w:rsidP="006F33E0">
      <w:pPr>
        <w:jc w:val="both"/>
      </w:pPr>
    </w:p>
    <w:p w:rsidR="006F33E0" w:rsidRDefault="006F33E0" w:rsidP="006F33E0">
      <w:pPr>
        <w:jc w:val="both"/>
      </w:pPr>
    </w:p>
    <w:p w:rsidR="006F33E0" w:rsidRDefault="006F33E0" w:rsidP="006F33E0">
      <w:pPr>
        <w:jc w:val="both"/>
      </w:pPr>
    </w:p>
    <w:p w:rsidR="006F33E0" w:rsidRDefault="006F33E0" w:rsidP="006F33E0">
      <w:pPr>
        <w:jc w:val="both"/>
      </w:pPr>
    </w:p>
    <w:p w:rsidR="006F33E0" w:rsidRDefault="006F33E0" w:rsidP="006F33E0">
      <w:pPr>
        <w:jc w:val="both"/>
      </w:pPr>
    </w:p>
    <w:p w:rsidR="006F33E0" w:rsidRPr="001D769D" w:rsidRDefault="006F33E0" w:rsidP="006F33E0">
      <w:pPr>
        <w:jc w:val="both"/>
      </w:pPr>
    </w:p>
    <w:p w:rsidR="00780D55" w:rsidRDefault="005E501E" w:rsidP="000C6786">
      <w:pPr>
        <w:pStyle w:val="ListParagraph"/>
        <w:numPr>
          <w:ilvl w:val="0"/>
          <w:numId w:val="0"/>
        </w:numPr>
        <w:ind w:left="426"/>
        <w:jc w:val="both"/>
        <w:rPr>
          <w:rFonts w:cs="Arial"/>
          <w:b/>
        </w:rPr>
      </w:pPr>
      <w:r>
        <w:rPr>
          <w:rFonts w:cs="Arial"/>
          <w:b/>
        </w:rPr>
        <w:lastRenderedPageBreak/>
        <w:t xml:space="preserve">First Phase </w:t>
      </w:r>
    </w:p>
    <w:p w:rsidR="00780D55" w:rsidRDefault="008B31BF" w:rsidP="000C6786">
      <w:pPr>
        <w:pStyle w:val="ListParagraph"/>
        <w:jc w:val="both"/>
      </w:pPr>
      <w:r w:rsidRPr="006B780A">
        <w:t xml:space="preserve">The sale of </w:t>
      </w:r>
      <w:r w:rsidR="005E501E">
        <w:t xml:space="preserve">the first </w:t>
      </w:r>
      <w:r w:rsidRPr="006B780A">
        <w:t xml:space="preserve">phase </w:t>
      </w:r>
      <w:r w:rsidR="00574940" w:rsidRPr="006B780A">
        <w:t>(237 units) to Hill completed in</w:t>
      </w:r>
      <w:r w:rsidR="00052795" w:rsidRPr="006B780A">
        <w:t xml:space="preserve"> November 2016</w:t>
      </w:r>
      <w:r w:rsidR="005E501E">
        <w:t>.</w:t>
      </w:r>
      <w:r w:rsidR="00574940" w:rsidRPr="006B780A">
        <w:t xml:space="preserve"> Hill are</w:t>
      </w:r>
      <w:r w:rsidR="005E501E">
        <w:t xml:space="preserve"> currently</w:t>
      </w:r>
      <w:r w:rsidR="00574940" w:rsidRPr="006B780A">
        <w:t xml:space="preserve"> building out this phase which includes 40 % social rented accommodation</w:t>
      </w:r>
      <w:r w:rsidR="00780D55">
        <w:t xml:space="preserve"> of the following types:</w:t>
      </w:r>
    </w:p>
    <w:tbl>
      <w:tblPr>
        <w:tblW w:w="0" w:type="auto"/>
        <w:tblInd w:w="534" w:type="dxa"/>
        <w:tblLook w:val="04A0" w:firstRow="1" w:lastRow="0" w:firstColumn="1" w:lastColumn="0" w:noHBand="0" w:noVBand="1"/>
      </w:tblPr>
      <w:tblGrid>
        <w:gridCol w:w="2275"/>
        <w:gridCol w:w="1440"/>
        <w:gridCol w:w="1440"/>
      </w:tblGrid>
      <w:tr w:rsidR="00780D55" w:rsidRPr="00780D55" w:rsidTr="000A3C51">
        <w:trPr>
          <w:trHeight w:val="330"/>
        </w:trPr>
        <w:tc>
          <w:tcPr>
            <w:tcW w:w="2275" w:type="dxa"/>
            <w:tcBorders>
              <w:top w:val="single" w:sz="4" w:space="0" w:color="76933C"/>
              <w:left w:val="single" w:sz="4" w:space="0" w:color="76933C"/>
              <w:bottom w:val="single" w:sz="4" w:space="0" w:color="76933C"/>
              <w:right w:val="single" w:sz="4" w:space="0" w:color="76933C"/>
            </w:tcBorders>
            <w:shd w:val="clear" w:color="000000" w:fill="76933C"/>
            <w:noWrap/>
            <w:vAlign w:val="bottom"/>
            <w:hideMark/>
          </w:tcPr>
          <w:p w:rsidR="00780D55" w:rsidRPr="00780D55" w:rsidRDefault="00780D55" w:rsidP="000C6786">
            <w:pPr>
              <w:spacing w:after="0"/>
              <w:ind w:left="333" w:hanging="284"/>
              <w:jc w:val="both"/>
              <w:rPr>
                <w:rFonts w:ascii="Microsoft New Tai Lue" w:hAnsi="Microsoft New Tai Lue" w:cs="Microsoft New Tai Lue"/>
                <w:b/>
                <w:bCs/>
                <w:color w:val="auto"/>
                <w:sz w:val="22"/>
                <w:szCs w:val="22"/>
              </w:rPr>
            </w:pPr>
            <w:r>
              <w:t xml:space="preserve"> </w:t>
            </w:r>
            <w:r w:rsidRPr="00780D55">
              <w:rPr>
                <w:rFonts w:ascii="Microsoft New Tai Lue" w:hAnsi="Microsoft New Tai Lue" w:cs="Microsoft New Tai Lue"/>
                <w:b/>
                <w:bCs/>
                <w:color w:val="auto"/>
                <w:sz w:val="22"/>
                <w:szCs w:val="22"/>
              </w:rPr>
              <w:t>Unit Types</w:t>
            </w:r>
          </w:p>
        </w:tc>
        <w:tc>
          <w:tcPr>
            <w:tcW w:w="1440" w:type="dxa"/>
            <w:tcBorders>
              <w:top w:val="single" w:sz="4" w:space="0" w:color="76933C"/>
              <w:left w:val="nil"/>
              <w:bottom w:val="single" w:sz="4" w:space="0" w:color="76933C"/>
              <w:right w:val="single" w:sz="4" w:space="0" w:color="76933C"/>
            </w:tcBorders>
            <w:shd w:val="clear" w:color="000000" w:fill="76933C"/>
            <w:noWrap/>
            <w:vAlign w:val="bottom"/>
            <w:hideMark/>
          </w:tcPr>
          <w:p w:rsidR="00780D55" w:rsidRPr="00780D55" w:rsidRDefault="00780D55" w:rsidP="000C6786">
            <w:pPr>
              <w:spacing w:after="0"/>
              <w:jc w:val="both"/>
              <w:rPr>
                <w:rFonts w:ascii="Microsoft New Tai Lue" w:hAnsi="Microsoft New Tai Lue" w:cs="Microsoft New Tai Lue"/>
                <w:b/>
                <w:bCs/>
                <w:color w:val="auto"/>
                <w:sz w:val="22"/>
                <w:szCs w:val="22"/>
              </w:rPr>
            </w:pPr>
            <w:r w:rsidRPr="00780D55">
              <w:rPr>
                <w:rFonts w:ascii="Microsoft New Tai Lue" w:hAnsi="Microsoft New Tai Lue" w:cs="Microsoft New Tai Lue"/>
                <w:b/>
                <w:bCs/>
                <w:color w:val="auto"/>
                <w:sz w:val="22"/>
                <w:szCs w:val="22"/>
              </w:rPr>
              <w:t>No. Units</w:t>
            </w:r>
          </w:p>
        </w:tc>
        <w:tc>
          <w:tcPr>
            <w:tcW w:w="1440" w:type="dxa"/>
            <w:tcBorders>
              <w:top w:val="single" w:sz="4" w:space="0" w:color="76933C"/>
              <w:left w:val="nil"/>
              <w:bottom w:val="single" w:sz="4" w:space="0" w:color="76933C"/>
              <w:right w:val="single" w:sz="4" w:space="0" w:color="76933C"/>
            </w:tcBorders>
            <w:shd w:val="clear" w:color="000000" w:fill="76933C"/>
            <w:noWrap/>
            <w:vAlign w:val="bottom"/>
            <w:hideMark/>
          </w:tcPr>
          <w:p w:rsidR="00780D55" w:rsidRPr="00780D55" w:rsidRDefault="00780D55" w:rsidP="000C6786">
            <w:pPr>
              <w:spacing w:after="0"/>
              <w:jc w:val="both"/>
              <w:rPr>
                <w:rFonts w:ascii="Microsoft New Tai Lue" w:hAnsi="Microsoft New Tai Lue" w:cs="Microsoft New Tai Lue"/>
                <w:b/>
                <w:bCs/>
                <w:color w:val="auto"/>
                <w:sz w:val="22"/>
                <w:szCs w:val="22"/>
              </w:rPr>
            </w:pPr>
            <w:r w:rsidRPr="00780D55">
              <w:rPr>
                <w:rFonts w:ascii="Microsoft New Tai Lue" w:hAnsi="Microsoft New Tai Lue" w:cs="Microsoft New Tai Lue"/>
                <w:b/>
                <w:bCs/>
                <w:color w:val="auto"/>
                <w:sz w:val="22"/>
                <w:szCs w:val="22"/>
              </w:rPr>
              <w:t>Bed spaces</w:t>
            </w:r>
          </w:p>
        </w:tc>
      </w:tr>
      <w:tr w:rsidR="00780D55" w:rsidRPr="00780D55" w:rsidTr="000A3C51">
        <w:trPr>
          <w:trHeight w:val="330"/>
        </w:trPr>
        <w:tc>
          <w:tcPr>
            <w:tcW w:w="2275" w:type="dxa"/>
            <w:tcBorders>
              <w:top w:val="nil"/>
              <w:left w:val="single" w:sz="4" w:space="0" w:color="76933C"/>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1 bed flat</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13</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26</w:t>
            </w:r>
          </w:p>
        </w:tc>
      </w:tr>
      <w:tr w:rsidR="00780D55" w:rsidRPr="00780D55" w:rsidTr="000A3C51">
        <w:trPr>
          <w:trHeight w:val="330"/>
        </w:trPr>
        <w:tc>
          <w:tcPr>
            <w:tcW w:w="2275" w:type="dxa"/>
            <w:tcBorders>
              <w:top w:val="nil"/>
              <w:left w:val="single" w:sz="4" w:space="0" w:color="76933C"/>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2 bed flat</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56</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223</w:t>
            </w:r>
          </w:p>
        </w:tc>
      </w:tr>
      <w:tr w:rsidR="00780D55" w:rsidRPr="00780D55" w:rsidTr="000A3C51">
        <w:trPr>
          <w:trHeight w:val="330"/>
        </w:trPr>
        <w:tc>
          <w:tcPr>
            <w:tcW w:w="2275" w:type="dxa"/>
            <w:tcBorders>
              <w:top w:val="nil"/>
              <w:left w:val="single" w:sz="4" w:space="0" w:color="76933C"/>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3 bed house</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24</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125</w:t>
            </w:r>
          </w:p>
        </w:tc>
      </w:tr>
      <w:tr w:rsidR="00780D55" w:rsidRPr="00780D55" w:rsidTr="000A3C51">
        <w:trPr>
          <w:trHeight w:val="330"/>
        </w:trPr>
        <w:tc>
          <w:tcPr>
            <w:tcW w:w="2275" w:type="dxa"/>
            <w:tcBorders>
              <w:top w:val="nil"/>
              <w:left w:val="single" w:sz="4" w:space="0" w:color="76933C"/>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4 bed house</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2</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14</w:t>
            </w:r>
          </w:p>
        </w:tc>
      </w:tr>
      <w:tr w:rsidR="00780D55" w:rsidRPr="00780D55" w:rsidTr="000A3C51">
        <w:trPr>
          <w:trHeight w:val="330"/>
        </w:trPr>
        <w:tc>
          <w:tcPr>
            <w:tcW w:w="2275" w:type="dxa"/>
            <w:tcBorders>
              <w:top w:val="nil"/>
              <w:left w:val="single" w:sz="4" w:space="0" w:color="76933C"/>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b/>
                <w:bCs/>
                <w:color w:val="auto"/>
                <w:sz w:val="22"/>
                <w:szCs w:val="22"/>
              </w:rPr>
            </w:pPr>
            <w:r w:rsidRPr="00780D55">
              <w:rPr>
                <w:rFonts w:ascii="Microsoft New Tai Lue" w:hAnsi="Microsoft New Tai Lue" w:cs="Microsoft New Tai Lue"/>
                <w:b/>
                <w:bCs/>
                <w:color w:val="auto"/>
                <w:sz w:val="22"/>
                <w:szCs w:val="22"/>
              </w:rPr>
              <w:t>Total</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b/>
                <w:bCs/>
                <w:color w:val="auto"/>
                <w:sz w:val="22"/>
                <w:szCs w:val="22"/>
              </w:rPr>
            </w:pPr>
            <w:r w:rsidRPr="00780D55">
              <w:rPr>
                <w:rFonts w:ascii="Microsoft New Tai Lue" w:hAnsi="Microsoft New Tai Lue" w:cs="Microsoft New Tai Lue"/>
                <w:b/>
                <w:bCs/>
                <w:color w:val="auto"/>
                <w:sz w:val="22"/>
                <w:szCs w:val="22"/>
              </w:rPr>
              <w:t>95</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b/>
                <w:bCs/>
                <w:color w:val="auto"/>
                <w:sz w:val="22"/>
                <w:szCs w:val="22"/>
              </w:rPr>
            </w:pPr>
            <w:r w:rsidRPr="00780D55">
              <w:rPr>
                <w:rFonts w:ascii="Microsoft New Tai Lue" w:hAnsi="Microsoft New Tai Lue" w:cs="Microsoft New Tai Lue"/>
                <w:b/>
                <w:bCs/>
                <w:color w:val="auto"/>
                <w:sz w:val="22"/>
                <w:szCs w:val="22"/>
              </w:rPr>
              <w:t>388</w:t>
            </w:r>
          </w:p>
        </w:tc>
      </w:tr>
    </w:tbl>
    <w:p w:rsidR="00C00B9D" w:rsidRDefault="00C00B9D" w:rsidP="000C6786">
      <w:pPr>
        <w:pStyle w:val="ListParagraph"/>
        <w:numPr>
          <w:ilvl w:val="0"/>
          <w:numId w:val="0"/>
        </w:numPr>
        <w:ind w:left="360"/>
        <w:jc w:val="both"/>
      </w:pPr>
    </w:p>
    <w:p w:rsidR="00780D55" w:rsidRDefault="005E501E" w:rsidP="000C6786">
      <w:pPr>
        <w:pStyle w:val="ListParagraph"/>
        <w:jc w:val="both"/>
      </w:pPr>
      <w:r>
        <w:t xml:space="preserve">The phase </w:t>
      </w:r>
      <w:r w:rsidR="008749EF" w:rsidRPr="006B780A">
        <w:t xml:space="preserve">has been parcelled into smaller tranches that allow the construction team to withdraw into the site so that new residents do not have to cross areas still under development to get to their new homes. </w:t>
      </w:r>
      <w:r w:rsidR="00780D55">
        <w:t>The planned handover of social units from these parcels is as follows:</w:t>
      </w:r>
    </w:p>
    <w:p w:rsidR="00780D55" w:rsidRDefault="00780D55" w:rsidP="000C6786">
      <w:pPr>
        <w:pStyle w:val="ListParagraph"/>
        <w:numPr>
          <w:ilvl w:val="0"/>
          <w:numId w:val="0"/>
        </w:numPr>
        <w:ind w:left="360"/>
        <w:jc w:val="both"/>
      </w:pPr>
    </w:p>
    <w:tbl>
      <w:tblPr>
        <w:tblW w:w="5155" w:type="dxa"/>
        <w:tblInd w:w="534" w:type="dxa"/>
        <w:tblLook w:val="04A0" w:firstRow="1" w:lastRow="0" w:firstColumn="1" w:lastColumn="0" w:noHBand="0" w:noVBand="1"/>
      </w:tblPr>
      <w:tblGrid>
        <w:gridCol w:w="2275"/>
        <w:gridCol w:w="1440"/>
        <w:gridCol w:w="1440"/>
      </w:tblGrid>
      <w:tr w:rsidR="00780D55" w:rsidRPr="00780D55" w:rsidTr="000A3C51">
        <w:trPr>
          <w:trHeight w:val="330"/>
        </w:trPr>
        <w:tc>
          <w:tcPr>
            <w:tcW w:w="2275" w:type="dxa"/>
            <w:tcBorders>
              <w:top w:val="single" w:sz="4" w:space="0" w:color="76933C"/>
              <w:left w:val="single" w:sz="4" w:space="0" w:color="76933C"/>
              <w:bottom w:val="single" w:sz="4" w:space="0" w:color="76933C"/>
              <w:right w:val="single" w:sz="4" w:space="0" w:color="76933C"/>
            </w:tcBorders>
            <w:shd w:val="clear" w:color="000000" w:fill="76933C"/>
            <w:noWrap/>
            <w:vAlign w:val="bottom"/>
            <w:hideMark/>
          </w:tcPr>
          <w:p w:rsidR="00780D55" w:rsidRPr="00780D55" w:rsidRDefault="00780D55" w:rsidP="000C6786">
            <w:pPr>
              <w:spacing w:after="0"/>
              <w:jc w:val="both"/>
              <w:rPr>
                <w:rFonts w:ascii="Microsoft New Tai Lue" w:hAnsi="Microsoft New Tai Lue" w:cs="Microsoft New Tai Lue"/>
                <w:b/>
                <w:bCs/>
                <w:color w:val="auto"/>
                <w:sz w:val="22"/>
                <w:szCs w:val="22"/>
              </w:rPr>
            </w:pPr>
            <w:r w:rsidRPr="00780D55">
              <w:rPr>
                <w:rFonts w:ascii="Microsoft New Tai Lue" w:hAnsi="Microsoft New Tai Lue" w:cs="Microsoft New Tai Lue"/>
                <w:b/>
                <w:bCs/>
                <w:color w:val="auto"/>
                <w:sz w:val="22"/>
                <w:szCs w:val="22"/>
              </w:rPr>
              <w:t>Completed Handovers to March 2019</w:t>
            </w:r>
          </w:p>
        </w:tc>
        <w:tc>
          <w:tcPr>
            <w:tcW w:w="1440" w:type="dxa"/>
            <w:tcBorders>
              <w:top w:val="single" w:sz="4" w:space="0" w:color="76933C"/>
              <w:left w:val="nil"/>
              <w:bottom w:val="single" w:sz="4" w:space="0" w:color="76933C"/>
              <w:right w:val="single" w:sz="4" w:space="0" w:color="76933C"/>
            </w:tcBorders>
            <w:shd w:val="clear" w:color="000000" w:fill="76933C"/>
            <w:noWrap/>
            <w:vAlign w:val="bottom"/>
            <w:hideMark/>
          </w:tcPr>
          <w:p w:rsidR="00780D55" w:rsidRPr="00780D55" w:rsidRDefault="00780D55" w:rsidP="000C6786">
            <w:pPr>
              <w:spacing w:after="0"/>
              <w:jc w:val="both"/>
              <w:rPr>
                <w:rFonts w:ascii="Microsoft New Tai Lue" w:hAnsi="Microsoft New Tai Lue" w:cs="Microsoft New Tai Lue"/>
                <w:b/>
                <w:bCs/>
                <w:color w:val="auto"/>
                <w:sz w:val="22"/>
                <w:szCs w:val="22"/>
              </w:rPr>
            </w:pPr>
            <w:r w:rsidRPr="00780D55">
              <w:rPr>
                <w:rFonts w:ascii="Microsoft New Tai Lue" w:hAnsi="Microsoft New Tai Lue" w:cs="Microsoft New Tai Lue"/>
                <w:b/>
                <w:bCs/>
                <w:color w:val="auto"/>
                <w:sz w:val="22"/>
                <w:szCs w:val="22"/>
              </w:rPr>
              <w:t> </w:t>
            </w:r>
          </w:p>
        </w:tc>
        <w:tc>
          <w:tcPr>
            <w:tcW w:w="1440" w:type="dxa"/>
            <w:tcBorders>
              <w:top w:val="single" w:sz="4" w:space="0" w:color="76933C"/>
              <w:left w:val="nil"/>
              <w:bottom w:val="single" w:sz="4" w:space="0" w:color="76933C"/>
              <w:right w:val="single" w:sz="4" w:space="0" w:color="76933C"/>
            </w:tcBorders>
            <w:shd w:val="clear" w:color="000000" w:fill="76933C"/>
            <w:noWrap/>
            <w:vAlign w:val="bottom"/>
            <w:hideMark/>
          </w:tcPr>
          <w:p w:rsidR="00780D55" w:rsidRPr="00780D55" w:rsidRDefault="00780D55" w:rsidP="000C6786">
            <w:pPr>
              <w:spacing w:after="0"/>
              <w:jc w:val="both"/>
              <w:rPr>
                <w:rFonts w:ascii="Microsoft New Tai Lue" w:hAnsi="Microsoft New Tai Lue" w:cs="Microsoft New Tai Lue"/>
                <w:b/>
                <w:bCs/>
                <w:color w:val="auto"/>
                <w:sz w:val="22"/>
                <w:szCs w:val="22"/>
              </w:rPr>
            </w:pPr>
            <w:r w:rsidRPr="00780D55">
              <w:rPr>
                <w:rFonts w:ascii="Microsoft New Tai Lue" w:hAnsi="Microsoft New Tai Lue" w:cs="Microsoft New Tai Lue"/>
                <w:b/>
                <w:bCs/>
                <w:color w:val="auto"/>
                <w:sz w:val="22"/>
                <w:szCs w:val="22"/>
              </w:rPr>
              <w:t> </w:t>
            </w:r>
          </w:p>
        </w:tc>
      </w:tr>
      <w:tr w:rsidR="00780D55" w:rsidRPr="00780D55" w:rsidTr="000A3C51">
        <w:trPr>
          <w:trHeight w:val="330"/>
        </w:trPr>
        <w:tc>
          <w:tcPr>
            <w:tcW w:w="2275" w:type="dxa"/>
            <w:tcBorders>
              <w:top w:val="nil"/>
              <w:left w:val="single" w:sz="4" w:space="0" w:color="76933C"/>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C2</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9</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30</w:t>
            </w:r>
          </w:p>
        </w:tc>
      </w:tr>
      <w:tr w:rsidR="00780D55" w:rsidRPr="00780D55" w:rsidTr="000A3C51">
        <w:trPr>
          <w:trHeight w:val="330"/>
        </w:trPr>
        <w:tc>
          <w:tcPr>
            <w:tcW w:w="2275" w:type="dxa"/>
            <w:tcBorders>
              <w:top w:val="nil"/>
              <w:left w:val="single" w:sz="4" w:space="0" w:color="76933C"/>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C3</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2</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10</w:t>
            </w:r>
          </w:p>
        </w:tc>
      </w:tr>
      <w:tr w:rsidR="00780D55" w:rsidRPr="00780D55" w:rsidTr="000A3C51">
        <w:trPr>
          <w:trHeight w:val="330"/>
        </w:trPr>
        <w:tc>
          <w:tcPr>
            <w:tcW w:w="2275" w:type="dxa"/>
            <w:tcBorders>
              <w:top w:val="nil"/>
              <w:left w:val="single" w:sz="4" w:space="0" w:color="76933C"/>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B</w:t>
            </w:r>
            <w:r w:rsidR="00047221">
              <w:rPr>
                <w:rFonts w:ascii="Microsoft New Tai Lue" w:hAnsi="Microsoft New Tai Lue" w:cs="Microsoft New Tai Lue"/>
                <w:color w:val="auto"/>
                <w:sz w:val="22"/>
                <w:szCs w:val="22"/>
              </w:rPr>
              <w:t>3</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A41EC5" w:rsidP="000C6786">
            <w:pPr>
              <w:spacing w:after="0"/>
              <w:jc w:val="both"/>
              <w:rPr>
                <w:rFonts w:ascii="Microsoft New Tai Lue" w:hAnsi="Microsoft New Tai Lue" w:cs="Microsoft New Tai Lue"/>
                <w:color w:val="auto"/>
                <w:sz w:val="22"/>
                <w:szCs w:val="22"/>
              </w:rPr>
            </w:pPr>
            <w:r>
              <w:rPr>
                <w:rFonts w:ascii="Microsoft New Tai Lue" w:hAnsi="Microsoft New Tai Lue" w:cs="Microsoft New Tai Lue"/>
                <w:color w:val="auto"/>
                <w:sz w:val="22"/>
                <w:szCs w:val="22"/>
              </w:rPr>
              <w:t>11</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26</w:t>
            </w:r>
          </w:p>
        </w:tc>
      </w:tr>
      <w:tr w:rsidR="00780D55" w:rsidRPr="00780D55" w:rsidTr="000A3C51">
        <w:trPr>
          <w:trHeight w:val="330"/>
        </w:trPr>
        <w:tc>
          <w:tcPr>
            <w:tcW w:w="2275" w:type="dxa"/>
            <w:tcBorders>
              <w:top w:val="nil"/>
              <w:left w:val="single" w:sz="4" w:space="0" w:color="76933C"/>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Total</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A41EC5" w:rsidP="000C6786">
            <w:pPr>
              <w:spacing w:after="0"/>
              <w:jc w:val="both"/>
              <w:rPr>
                <w:rFonts w:ascii="Microsoft New Tai Lue" w:hAnsi="Microsoft New Tai Lue" w:cs="Microsoft New Tai Lue"/>
                <w:b/>
                <w:bCs/>
                <w:color w:val="auto"/>
                <w:sz w:val="22"/>
                <w:szCs w:val="22"/>
              </w:rPr>
            </w:pPr>
            <w:r>
              <w:rPr>
                <w:rFonts w:ascii="Microsoft New Tai Lue" w:hAnsi="Microsoft New Tai Lue" w:cs="Microsoft New Tai Lue"/>
                <w:b/>
                <w:bCs/>
                <w:color w:val="auto"/>
                <w:sz w:val="22"/>
                <w:szCs w:val="22"/>
              </w:rPr>
              <w:t>22</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b/>
                <w:bCs/>
                <w:color w:val="auto"/>
                <w:sz w:val="22"/>
                <w:szCs w:val="22"/>
              </w:rPr>
            </w:pPr>
            <w:r w:rsidRPr="00780D55">
              <w:rPr>
                <w:rFonts w:ascii="Microsoft New Tai Lue" w:hAnsi="Microsoft New Tai Lue" w:cs="Microsoft New Tai Lue"/>
                <w:b/>
                <w:bCs/>
                <w:color w:val="auto"/>
                <w:sz w:val="22"/>
                <w:szCs w:val="22"/>
              </w:rPr>
              <w:t>66</w:t>
            </w:r>
          </w:p>
        </w:tc>
      </w:tr>
      <w:tr w:rsidR="00780D55" w:rsidRPr="00780D55" w:rsidTr="000A3C51">
        <w:trPr>
          <w:trHeight w:val="330"/>
        </w:trPr>
        <w:tc>
          <w:tcPr>
            <w:tcW w:w="2275" w:type="dxa"/>
            <w:tcBorders>
              <w:top w:val="nil"/>
              <w:left w:val="single" w:sz="4" w:space="0" w:color="76933C"/>
              <w:bottom w:val="single" w:sz="4" w:space="0" w:color="76933C"/>
              <w:right w:val="single" w:sz="4" w:space="0" w:color="76933C"/>
            </w:tcBorders>
            <w:shd w:val="clear" w:color="000000" w:fill="76933C"/>
            <w:noWrap/>
            <w:vAlign w:val="bottom"/>
            <w:hideMark/>
          </w:tcPr>
          <w:p w:rsidR="00780D55" w:rsidRPr="00780D55" w:rsidRDefault="00780D55" w:rsidP="000C6786">
            <w:pPr>
              <w:spacing w:after="0"/>
              <w:jc w:val="both"/>
              <w:rPr>
                <w:rFonts w:ascii="Microsoft New Tai Lue" w:hAnsi="Microsoft New Tai Lue" w:cs="Microsoft New Tai Lue"/>
                <w:b/>
                <w:bCs/>
                <w:color w:val="auto"/>
                <w:sz w:val="22"/>
                <w:szCs w:val="22"/>
              </w:rPr>
            </w:pPr>
            <w:r w:rsidRPr="00780D55">
              <w:rPr>
                <w:rFonts w:ascii="Microsoft New Tai Lue" w:hAnsi="Microsoft New Tai Lue" w:cs="Microsoft New Tai Lue"/>
                <w:b/>
                <w:bCs/>
                <w:color w:val="auto"/>
                <w:sz w:val="22"/>
                <w:szCs w:val="22"/>
              </w:rPr>
              <w:t>April 2019 Handovers</w:t>
            </w:r>
          </w:p>
        </w:tc>
        <w:tc>
          <w:tcPr>
            <w:tcW w:w="1440" w:type="dxa"/>
            <w:tcBorders>
              <w:top w:val="nil"/>
              <w:left w:val="nil"/>
              <w:bottom w:val="single" w:sz="4" w:space="0" w:color="76933C"/>
              <w:right w:val="single" w:sz="4" w:space="0" w:color="76933C"/>
            </w:tcBorders>
            <w:shd w:val="clear" w:color="000000" w:fill="76933C"/>
            <w:noWrap/>
            <w:vAlign w:val="bottom"/>
            <w:hideMark/>
          </w:tcPr>
          <w:p w:rsidR="00780D55" w:rsidRPr="00780D55" w:rsidRDefault="00780D55" w:rsidP="000C6786">
            <w:pPr>
              <w:spacing w:after="0"/>
              <w:jc w:val="both"/>
              <w:rPr>
                <w:rFonts w:ascii="Microsoft New Tai Lue" w:hAnsi="Microsoft New Tai Lue" w:cs="Microsoft New Tai Lue"/>
                <w:b/>
                <w:bCs/>
                <w:color w:val="auto"/>
                <w:sz w:val="22"/>
                <w:szCs w:val="22"/>
              </w:rPr>
            </w:pPr>
            <w:r w:rsidRPr="00780D55">
              <w:rPr>
                <w:rFonts w:ascii="Microsoft New Tai Lue" w:hAnsi="Microsoft New Tai Lue" w:cs="Microsoft New Tai Lue"/>
                <w:b/>
                <w:bCs/>
                <w:color w:val="auto"/>
                <w:sz w:val="22"/>
                <w:szCs w:val="22"/>
              </w:rPr>
              <w:t> </w:t>
            </w:r>
          </w:p>
        </w:tc>
        <w:tc>
          <w:tcPr>
            <w:tcW w:w="1440" w:type="dxa"/>
            <w:tcBorders>
              <w:top w:val="nil"/>
              <w:left w:val="nil"/>
              <w:bottom w:val="single" w:sz="4" w:space="0" w:color="76933C"/>
              <w:right w:val="single" w:sz="4" w:space="0" w:color="76933C"/>
            </w:tcBorders>
            <w:shd w:val="clear" w:color="000000" w:fill="76933C"/>
            <w:noWrap/>
            <w:vAlign w:val="bottom"/>
            <w:hideMark/>
          </w:tcPr>
          <w:p w:rsidR="00780D55" w:rsidRPr="00780D55" w:rsidRDefault="00780D55" w:rsidP="000C6786">
            <w:pPr>
              <w:spacing w:after="0"/>
              <w:jc w:val="both"/>
              <w:rPr>
                <w:rFonts w:ascii="Microsoft New Tai Lue" w:hAnsi="Microsoft New Tai Lue" w:cs="Microsoft New Tai Lue"/>
                <w:b/>
                <w:bCs/>
                <w:color w:val="auto"/>
                <w:sz w:val="22"/>
                <w:szCs w:val="22"/>
              </w:rPr>
            </w:pPr>
            <w:r w:rsidRPr="00780D55">
              <w:rPr>
                <w:rFonts w:ascii="Microsoft New Tai Lue" w:hAnsi="Microsoft New Tai Lue" w:cs="Microsoft New Tai Lue"/>
                <w:b/>
                <w:bCs/>
                <w:color w:val="auto"/>
                <w:sz w:val="22"/>
                <w:szCs w:val="22"/>
              </w:rPr>
              <w:t> </w:t>
            </w:r>
          </w:p>
        </w:tc>
      </w:tr>
      <w:tr w:rsidR="00780D55" w:rsidRPr="00780D55" w:rsidTr="000A3C51">
        <w:trPr>
          <w:trHeight w:val="330"/>
        </w:trPr>
        <w:tc>
          <w:tcPr>
            <w:tcW w:w="2275" w:type="dxa"/>
            <w:tcBorders>
              <w:top w:val="nil"/>
              <w:left w:val="single" w:sz="4" w:space="0" w:color="76933C"/>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D3</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6</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28</w:t>
            </w:r>
          </w:p>
        </w:tc>
      </w:tr>
      <w:tr w:rsidR="00780D55" w:rsidRPr="00780D55" w:rsidTr="000A3C51">
        <w:trPr>
          <w:trHeight w:val="330"/>
        </w:trPr>
        <w:tc>
          <w:tcPr>
            <w:tcW w:w="2275" w:type="dxa"/>
            <w:tcBorders>
              <w:top w:val="nil"/>
              <w:left w:val="single" w:sz="4" w:space="0" w:color="76933C"/>
              <w:bottom w:val="single" w:sz="4" w:space="0" w:color="76933C"/>
              <w:right w:val="single" w:sz="4" w:space="0" w:color="76933C"/>
            </w:tcBorders>
            <w:shd w:val="clear" w:color="auto" w:fill="auto"/>
            <w:noWrap/>
            <w:vAlign w:val="bottom"/>
            <w:hideMark/>
          </w:tcPr>
          <w:p w:rsidR="00780D55" w:rsidRPr="00780D55" w:rsidRDefault="00047221" w:rsidP="000C6786">
            <w:pPr>
              <w:spacing w:after="0"/>
              <w:jc w:val="both"/>
              <w:rPr>
                <w:rFonts w:ascii="Microsoft New Tai Lue" w:hAnsi="Microsoft New Tai Lue" w:cs="Microsoft New Tai Lue"/>
                <w:color w:val="auto"/>
                <w:sz w:val="22"/>
                <w:szCs w:val="22"/>
              </w:rPr>
            </w:pPr>
            <w:r>
              <w:rPr>
                <w:rFonts w:ascii="Microsoft New Tai Lue" w:hAnsi="Microsoft New Tai Lue" w:cs="Microsoft New Tai Lue"/>
                <w:color w:val="auto"/>
                <w:sz w:val="22"/>
                <w:szCs w:val="22"/>
              </w:rPr>
              <w:t>B1</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7</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28</w:t>
            </w:r>
          </w:p>
        </w:tc>
      </w:tr>
      <w:tr w:rsidR="00780D55" w:rsidRPr="00780D55" w:rsidTr="000A3C51">
        <w:trPr>
          <w:trHeight w:val="330"/>
        </w:trPr>
        <w:tc>
          <w:tcPr>
            <w:tcW w:w="2275" w:type="dxa"/>
            <w:tcBorders>
              <w:top w:val="nil"/>
              <w:left w:val="single" w:sz="4" w:space="0" w:color="76933C"/>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Total</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b/>
                <w:bCs/>
                <w:color w:val="auto"/>
                <w:sz w:val="22"/>
                <w:szCs w:val="22"/>
              </w:rPr>
            </w:pPr>
            <w:r w:rsidRPr="00780D55">
              <w:rPr>
                <w:rFonts w:ascii="Microsoft New Tai Lue" w:hAnsi="Microsoft New Tai Lue" w:cs="Microsoft New Tai Lue"/>
                <w:b/>
                <w:bCs/>
                <w:color w:val="auto"/>
                <w:sz w:val="22"/>
                <w:szCs w:val="22"/>
              </w:rPr>
              <w:t>13</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b/>
                <w:bCs/>
                <w:color w:val="auto"/>
                <w:sz w:val="22"/>
                <w:szCs w:val="22"/>
              </w:rPr>
            </w:pPr>
            <w:r w:rsidRPr="00780D55">
              <w:rPr>
                <w:rFonts w:ascii="Microsoft New Tai Lue" w:hAnsi="Microsoft New Tai Lue" w:cs="Microsoft New Tai Lue"/>
                <w:b/>
                <w:bCs/>
                <w:color w:val="auto"/>
                <w:sz w:val="22"/>
                <w:szCs w:val="22"/>
              </w:rPr>
              <w:t>56</w:t>
            </w:r>
          </w:p>
        </w:tc>
      </w:tr>
      <w:tr w:rsidR="00780D55" w:rsidRPr="00780D55" w:rsidTr="000A3C51">
        <w:trPr>
          <w:trHeight w:val="330"/>
        </w:trPr>
        <w:tc>
          <w:tcPr>
            <w:tcW w:w="2275" w:type="dxa"/>
            <w:tcBorders>
              <w:top w:val="nil"/>
              <w:left w:val="single" w:sz="4" w:space="0" w:color="76933C"/>
              <w:bottom w:val="single" w:sz="4" w:space="0" w:color="76933C"/>
              <w:right w:val="single" w:sz="4" w:space="0" w:color="76933C"/>
            </w:tcBorders>
            <w:shd w:val="clear" w:color="000000" w:fill="76933C"/>
            <w:noWrap/>
            <w:vAlign w:val="bottom"/>
            <w:hideMark/>
          </w:tcPr>
          <w:p w:rsidR="00780D55" w:rsidRPr="00780D55" w:rsidRDefault="00780D55" w:rsidP="000C6786">
            <w:pPr>
              <w:spacing w:after="0"/>
              <w:jc w:val="both"/>
              <w:rPr>
                <w:rFonts w:ascii="Microsoft New Tai Lue" w:hAnsi="Microsoft New Tai Lue" w:cs="Microsoft New Tai Lue"/>
                <w:b/>
                <w:bCs/>
                <w:color w:val="auto"/>
                <w:sz w:val="22"/>
                <w:szCs w:val="22"/>
              </w:rPr>
            </w:pPr>
            <w:r w:rsidRPr="00780D55">
              <w:rPr>
                <w:rFonts w:ascii="Microsoft New Tai Lue" w:hAnsi="Microsoft New Tai Lue" w:cs="Microsoft New Tai Lue"/>
                <w:b/>
                <w:bCs/>
                <w:color w:val="auto"/>
                <w:sz w:val="22"/>
                <w:szCs w:val="22"/>
              </w:rPr>
              <w:t>Pending Handovers</w:t>
            </w:r>
          </w:p>
        </w:tc>
        <w:tc>
          <w:tcPr>
            <w:tcW w:w="1440" w:type="dxa"/>
            <w:tcBorders>
              <w:top w:val="nil"/>
              <w:left w:val="nil"/>
              <w:bottom w:val="single" w:sz="4" w:space="0" w:color="76933C"/>
              <w:right w:val="single" w:sz="4" w:space="0" w:color="76933C"/>
            </w:tcBorders>
            <w:shd w:val="clear" w:color="000000" w:fill="76933C"/>
            <w:noWrap/>
            <w:vAlign w:val="bottom"/>
            <w:hideMark/>
          </w:tcPr>
          <w:p w:rsidR="00780D55" w:rsidRPr="00780D55" w:rsidRDefault="00780D55" w:rsidP="000C6786">
            <w:pPr>
              <w:spacing w:after="0"/>
              <w:jc w:val="both"/>
              <w:rPr>
                <w:rFonts w:ascii="Microsoft New Tai Lue" w:hAnsi="Microsoft New Tai Lue" w:cs="Microsoft New Tai Lue"/>
                <w:b/>
                <w:bCs/>
                <w:color w:val="auto"/>
                <w:sz w:val="22"/>
                <w:szCs w:val="22"/>
              </w:rPr>
            </w:pPr>
            <w:r w:rsidRPr="00780D55">
              <w:rPr>
                <w:rFonts w:ascii="Microsoft New Tai Lue" w:hAnsi="Microsoft New Tai Lue" w:cs="Microsoft New Tai Lue"/>
                <w:b/>
                <w:bCs/>
                <w:color w:val="auto"/>
                <w:sz w:val="22"/>
                <w:szCs w:val="22"/>
              </w:rPr>
              <w:t> </w:t>
            </w:r>
          </w:p>
        </w:tc>
        <w:tc>
          <w:tcPr>
            <w:tcW w:w="1440" w:type="dxa"/>
            <w:tcBorders>
              <w:top w:val="nil"/>
              <w:left w:val="nil"/>
              <w:bottom w:val="single" w:sz="4" w:space="0" w:color="76933C"/>
              <w:right w:val="single" w:sz="4" w:space="0" w:color="76933C"/>
            </w:tcBorders>
            <w:shd w:val="clear" w:color="000000" w:fill="76933C"/>
            <w:noWrap/>
            <w:vAlign w:val="bottom"/>
            <w:hideMark/>
          </w:tcPr>
          <w:p w:rsidR="00780D55" w:rsidRPr="00780D55" w:rsidRDefault="00780D55" w:rsidP="000C6786">
            <w:pPr>
              <w:spacing w:after="0"/>
              <w:jc w:val="both"/>
              <w:rPr>
                <w:rFonts w:ascii="Microsoft New Tai Lue" w:hAnsi="Microsoft New Tai Lue" w:cs="Microsoft New Tai Lue"/>
                <w:b/>
                <w:bCs/>
                <w:color w:val="auto"/>
                <w:sz w:val="22"/>
                <w:szCs w:val="22"/>
              </w:rPr>
            </w:pPr>
            <w:r w:rsidRPr="00780D55">
              <w:rPr>
                <w:rFonts w:ascii="Microsoft New Tai Lue" w:hAnsi="Microsoft New Tai Lue" w:cs="Microsoft New Tai Lue"/>
                <w:b/>
                <w:bCs/>
                <w:color w:val="auto"/>
                <w:sz w:val="22"/>
                <w:szCs w:val="22"/>
              </w:rPr>
              <w:t> </w:t>
            </w:r>
          </w:p>
        </w:tc>
      </w:tr>
      <w:tr w:rsidR="00780D55" w:rsidRPr="00780D55" w:rsidTr="000A3C51">
        <w:trPr>
          <w:trHeight w:val="330"/>
        </w:trPr>
        <w:tc>
          <w:tcPr>
            <w:tcW w:w="2275" w:type="dxa"/>
            <w:tcBorders>
              <w:top w:val="nil"/>
              <w:left w:val="single" w:sz="4" w:space="0" w:color="76933C"/>
              <w:bottom w:val="single" w:sz="4" w:space="0" w:color="76933C"/>
              <w:right w:val="single" w:sz="4" w:space="0" w:color="76933C"/>
            </w:tcBorders>
            <w:shd w:val="clear" w:color="auto" w:fill="auto"/>
            <w:noWrap/>
            <w:vAlign w:val="bottom"/>
            <w:hideMark/>
          </w:tcPr>
          <w:p w:rsidR="00780D55" w:rsidRPr="00780D55" w:rsidRDefault="00047221" w:rsidP="000C6786">
            <w:pPr>
              <w:spacing w:after="0"/>
              <w:jc w:val="both"/>
              <w:rPr>
                <w:rFonts w:ascii="Microsoft New Tai Lue" w:hAnsi="Microsoft New Tai Lue" w:cs="Microsoft New Tai Lue"/>
                <w:color w:val="auto"/>
                <w:sz w:val="22"/>
                <w:szCs w:val="22"/>
              </w:rPr>
            </w:pPr>
            <w:r>
              <w:rPr>
                <w:rFonts w:ascii="Microsoft New Tai Lue" w:hAnsi="Microsoft New Tai Lue" w:cs="Microsoft New Tai Lue"/>
                <w:color w:val="auto"/>
                <w:sz w:val="22"/>
                <w:szCs w:val="22"/>
              </w:rPr>
              <w:t xml:space="preserve">D2, </w:t>
            </w:r>
            <w:r w:rsidR="00780D55" w:rsidRPr="00780D55">
              <w:rPr>
                <w:rFonts w:ascii="Microsoft New Tai Lue" w:hAnsi="Microsoft New Tai Lue" w:cs="Microsoft New Tai Lue"/>
                <w:color w:val="auto"/>
                <w:sz w:val="22"/>
                <w:szCs w:val="22"/>
              </w:rPr>
              <w:t>E - H</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5E501E" w:rsidP="000C6786">
            <w:pPr>
              <w:spacing w:after="0"/>
              <w:jc w:val="both"/>
              <w:rPr>
                <w:rFonts w:ascii="Microsoft New Tai Lue" w:hAnsi="Microsoft New Tai Lue" w:cs="Microsoft New Tai Lue"/>
                <w:color w:val="auto"/>
                <w:sz w:val="22"/>
                <w:szCs w:val="22"/>
              </w:rPr>
            </w:pPr>
            <w:r>
              <w:rPr>
                <w:rFonts w:ascii="Microsoft New Tai Lue" w:hAnsi="Microsoft New Tai Lue" w:cs="Microsoft New Tai Lue"/>
                <w:color w:val="auto"/>
                <w:sz w:val="22"/>
                <w:szCs w:val="22"/>
              </w:rPr>
              <w:t>60</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266</w:t>
            </w:r>
          </w:p>
        </w:tc>
      </w:tr>
      <w:tr w:rsidR="00780D55" w:rsidRPr="00780D55" w:rsidTr="000A3C51">
        <w:trPr>
          <w:trHeight w:val="330"/>
        </w:trPr>
        <w:tc>
          <w:tcPr>
            <w:tcW w:w="2275" w:type="dxa"/>
            <w:tcBorders>
              <w:top w:val="nil"/>
              <w:left w:val="single" w:sz="4" w:space="0" w:color="76933C"/>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color w:val="auto"/>
                <w:sz w:val="22"/>
                <w:szCs w:val="22"/>
              </w:rPr>
            </w:pPr>
            <w:r w:rsidRPr="00780D55">
              <w:rPr>
                <w:rFonts w:ascii="Microsoft New Tai Lue" w:hAnsi="Microsoft New Tai Lue" w:cs="Microsoft New Tai Lue"/>
                <w:color w:val="auto"/>
                <w:sz w:val="22"/>
                <w:szCs w:val="22"/>
              </w:rPr>
              <w:t>Phase 1 Total</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b/>
                <w:bCs/>
                <w:color w:val="auto"/>
                <w:sz w:val="22"/>
                <w:szCs w:val="22"/>
              </w:rPr>
            </w:pPr>
            <w:r w:rsidRPr="00780D55">
              <w:rPr>
                <w:rFonts w:ascii="Microsoft New Tai Lue" w:hAnsi="Microsoft New Tai Lue" w:cs="Microsoft New Tai Lue"/>
                <w:b/>
                <w:bCs/>
                <w:color w:val="auto"/>
                <w:sz w:val="22"/>
                <w:szCs w:val="22"/>
              </w:rPr>
              <w:t>95</w:t>
            </w:r>
          </w:p>
        </w:tc>
        <w:tc>
          <w:tcPr>
            <w:tcW w:w="1440" w:type="dxa"/>
            <w:tcBorders>
              <w:top w:val="nil"/>
              <w:left w:val="nil"/>
              <w:bottom w:val="single" w:sz="4" w:space="0" w:color="76933C"/>
              <w:right w:val="single" w:sz="4" w:space="0" w:color="76933C"/>
            </w:tcBorders>
            <w:shd w:val="clear" w:color="auto" w:fill="auto"/>
            <w:noWrap/>
            <w:vAlign w:val="bottom"/>
            <w:hideMark/>
          </w:tcPr>
          <w:p w:rsidR="00780D55" w:rsidRPr="00780D55" w:rsidRDefault="00780D55" w:rsidP="000C6786">
            <w:pPr>
              <w:spacing w:after="0"/>
              <w:jc w:val="both"/>
              <w:rPr>
                <w:rFonts w:ascii="Microsoft New Tai Lue" w:hAnsi="Microsoft New Tai Lue" w:cs="Microsoft New Tai Lue"/>
                <w:b/>
                <w:bCs/>
                <w:color w:val="auto"/>
                <w:sz w:val="22"/>
                <w:szCs w:val="22"/>
              </w:rPr>
            </w:pPr>
            <w:r w:rsidRPr="00780D55">
              <w:rPr>
                <w:rFonts w:ascii="Microsoft New Tai Lue" w:hAnsi="Microsoft New Tai Lue" w:cs="Microsoft New Tai Lue"/>
                <w:b/>
                <w:bCs/>
                <w:color w:val="auto"/>
                <w:sz w:val="22"/>
                <w:szCs w:val="22"/>
              </w:rPr>
              <w:t>388</w:t>
            </w:r>
          </w:p>
        </w:tc>
      </w:tr>
    </w:tbl>
    <w:p w:rsidR="008749EF" w:rsidRPr="006B780A" w:rsidRDefault="008749EF" w:rsidP="000C6786">
      <w:pPr>
        <w:pStyle w:val="ListParagraph"/>
        <w:numPr>
          <w:ilvl w:val="0"/>
          <w:numId w:val="0"/>
        </w:numPr>
        <w:ind w:left="360"/>
        <w:jc w:val="both"/>
      </w:pPr>
    </w:p>
    <w:p w:rsidR="00780D55" w:rsidRDefault="009C6FE5" w:rsidP="000C6786">
      <w:pPr>
        <w:pStyle w:val="ListParagraph"/>
        <w:jc w:val="both"/>
        <w:rPr>
          <w:lang w:eastAsia="en-US"/>
        </w:rPr>
      </w:pPr>
      <w:r w:rsidRPr="006B780A">
        <w:rPr>
          <w:lang w:eastAsia="en-US"/>
        </w:rPr>
        <w:t>The first handover of 11 completed social rented homes</w:t>
      </w:r>
      <w:r w:rsidR="00FA06BA">
        <w:rPr>
          <w:lang w:eastAsia="en-US"/>
        </w:rPr>
        <w:t xml:space="preserve"> to Oxford City Housing (Investment) Ltd (OCHIL) </w:t>
      </w:r>
      <w:r w:rsidRPr="006B780A">
        <w:rPr>
          <w:lang w:eastAsia="en-US"/>
        </w:rPr>
        <w:t>took place in January 2019, followed by a further 11 in February. All 22 homes</w:t>
      </w:r>
      <w:r w:rsidR="00FA06BA">
        <w:rPr>
          <w:lang w:eastAsia="en-US"/>
        </w:rPr>
        <w:t xml:space="preserve"> are owned and managed by OCHIL and</w:t>
      </w:r>
      <w:r w:rsidRPr="006B780A">
        <w:rPr>
          <w:lang w:eastAsia="en-US"/>
        </w:rPr>
        <w:t xml:space="preserve"> have been let and occupied. On 13</w:t>
      </w:r>
      <w:r w:rsidRPr="006B780A">
        <w:rPr>
          <w:vertAlign w:val="superscript"/>
          <w:lang w:eastAsia="en-US"/>
        </w:rPr>
        <w:t>th</w:t>
      </w:r>
      <w:r w:rsidRPr="006B780A">
        <w:rPr>
          <w:lang w:eastAsia="en-US"/>
        </w:rPr>
        <w:t xml:space="preserve"> May </w:t>
      </w:r>
      <w:r w:rsidR="0039218D">
        <w:rPr>
          <w:lang w:eastAsia="en-US"/>
        </w:rPr>
        <w:t>OCHIL</w:t>
      </w:r>
      <w:r w:rsidRPr="006B780A">
        <w:rPr>
          <w:lang w:eastAsia="en-US"/>
        </w:rPr>
        <w:t xml:space="preserve"> took possession of 13 more completed homes </w:t>
      </w:r>
      <w:r w:rsidR="00FA06BA">
        <w:rPr>
          <w:lang w:eastAsia="en-US"/>
        </w:rPr>
        <w:t>which</w:t>
      </w:r>
      <w:r w:rsidRPr="006B780A">
        <w:rPr>
          <w:lang w:eastAsia="en-US"/>
        </w:rPr>
        <w:t xml:space="preserve"> have all been allocated and accepted.</w:t>
      </w:r>
      <w:r w:rsidR="00780D55">
        <w:rPr>
          <w:lang w:eastAsia="en-US"/>
        </w:rPr>
        <w:t xml:space="preserve"> </w:t>
      </w:r>
      <w:r w:rsidRPr="006B780A">
        <w:rPr>
          <w:lang w:eastAsia="en-US"/>
        </w:rPr>
        <w:t>The next</w:t>
      </w:r>
      <w:r w:rsidR="003639D7">
        <w:rPr>
          <w:lang w:eastAsia="en-US"/>
        </w:rPr>
        <w:t xml:space="preserve"> tranche of 12 homes will be handed over</w:t>
      </w:r>
      <w:r w:rsidR="00FA06BA">
        <w:rPr>
          <w:lang w:eastAsia="en-US"/>
        </w:rPr>
        <w:t xml:space="preserve"> to OCHIL</w:t>
      </w:r>
      <w:r w:rsidR="003639D7">
        <w:rPr>
          <w:lang w:eastAsia="en-US"/>
        </w:rPr>
        <w:t xml:space="preserve"> in June/July with </w:t>
      </w:r>
      <w:r w:rsidR="00780D55">
        <w:rPr>
          <w:lang w:eastAsia="en-US"/>
        </w:rPr>
        <w:t>the remaining</w:t>
      </w:r>
      <w:r w:rsidR="00C00B9D">
        <w:rPr>
          <w:lang w:eastAsia="en-US"/>
        </w:rPr>
        <w:t xml:space="preserve"> handovers scheduled over the course of</w:t>
      </w:r>
      <w:r w:rsidR="003639D7">
        <w:rPr>
          <w:lang w:eastAsia="en-US"/>
        </w:rPr>
        <w:t xml:space="preserve"> the</w:t>
      </w:r>
      <w:r w:rsidR="00C00B9D">
        <w:rPr>
          <w:lang w:eastAsia="en-US"/>
        </w:rPr>
        <w:t xml:space="preserve"> next</w:t>
      </w:r>
      <w:r w:rsidR="003639D7">
        <w:rPr>
          <w:lang w:eastAsia="en-US"/>
        </w:rPr>
        <w:t xml:space="preserve"> year.  </w:t>
      </w:r>
    </w:p>
    <w:p w:rsidR="00C35606" w:rsidRDefault="00C35606" w:rsidP="000C6786">
      <w:pPr>
        <w:pStyle w:val="ListParagraph"/>
        <w:jc w:val="both"/>
      </w:pPr>
      <w:r w:rsidRPr="006B780A">
        <w:t xml:space="preserve">The </w:t>
      </w:r>
      <w:r w:rsidR="00E41E74">
        <w:t>Council</w:t>
      </w:r>
      <w:r w:rsidRPr="006B780A">
        <w:t xml:space="preserve"> has instructed an employer</w:t>
      </w:r>
      <w:r w:rsidR="006B780A">
        <w:t>’</w:t>
      </w:r>
      <w:r w:rsidRPr="006B780A">
        <w:t>s agent who ensures that the properties are built to the appropriate standard and checks the price to be paid</w:t>
      </w:r>
      <w:r w:rsidR="005E501E">
        <w:t xml:space="preserve"> in accordance with the agreement</w:t>
      </w:r>
      <w:r w:rsidRPr="006B780A">
        <w:t xml:space="preserve">. </w:t>
      </w:r>
    </w:p>
    <w:p w:rsidR="006F33E0" w:rsidRPr="006B780A" w:rsidRDefault="006F33E0" w:rsidP="006F33E0">
      <w:pPr>
        <w:jc w:val="both"/>
      </w:pPr>
    </w:p>
    <w:p w:rsidR="008749EF" w:rsidRPr="000A3C51" w:rsidRDefault="005E501E" w:rsidP="000C6786">
      <w:pPr>
        <w:pStyle w:val="ListParagraph"/>
        <w:numPr>
          <w:ilvl w:val="0"/>
          <w:numId w:val="0"/>
        </w:numPr>
        <w:ind w:left="786" w:hanging="360"/>
        <w:jc w:val="both"/>
        <w:rPr>
          <w:rFonts w:cs="Arial"/>
          <w:b/>
        </w:rPr>
      </w:pPr>
      <w:r>
        <w:rPr>
          <w:rFonts w:cs="Arial"/>
          <w:b/>
        </w:rPr>
        <w:lastRenderedPageBreak/>
        <w:t>Second phase</w:t>
      </w:r>
    </w:p>
    <w:p w:rsidR="008749EF" w:rsidRDefault="00563D4C" w:rsidP="000C6786">
      <w:pPr>
        <w:pStyle w:val="ListParagraph"/>
        <w:jc w:val="both"/>
        <w:rPr>
          <w:rFonts w:cs="Arial"/>
        </w:rPr>
      </w:pPr>
      <w:r w:rsidRPr="006B780A">
        <w:rPr>
          <w:rFonts w:cs="Arial"/>
        </w:rPr>
        <w:t xml:space="preserve">In </w:t>
      </w:r>
      <w:r w:rsidR="001D5566">
        <w:rPr>
          <w:rFonts w:cs="Arial"/>
        </w:rPr>
        <w:t>2018</w:t>
      </w:r>
      <w:r w:rsidRPr="006B780A">
        <w:rPr>
          <w:rFonts w:cs="Arial"/>
        </w:rPr>
        <w:t xml:space="preserve"> Redrow completed on the purchase of </w:t>
      </w:r>
      <w:r w:rsidR="005E501E">
        <w:rPr>
          <w:rFonts w:cs="Arial"/>
        </w:rPr>
        <w:t>the second phase f</w:t>
      </w:r>
      <w:r w:rsidRPr="006B780A">
        <w:rPr>
          <w:rFonts w:cs="Arial"/>
        </w:rPr>
        <w:t xml:space="preserve">or an </w:t>
      </w:r>
      <w:r w:rsidR="004504AB">
        <w:rPr>
          <w:rFonts w:cs="Arial"/>
        </w:rPr>
        <w:t>anticipated</w:t>
      </w:r>
      <w:r w:rsidRPr="006B780A">
        <w:rPr>
          <w:rFonts w:cs="Arial"/>
        </w:rPr>
        <w:t xml:space="preserve"> 223 units. </w:t>
      </w:r>
      <w:r w:rsidR="00052795" w:rsidRPr="006B780A">
        <w:rPr>
          <w:rFonts w:cs="Arial"/>
        </w:rPr>
        <w:t>Pre-application discussions have taken place with the</w:t>
      </w:r>
      <w:r w:rsidR="00765552">
        <w:rPr>
          <w:rFonts w:cs="Arial"/>
        </w:rPr>
        <w:t xml:space="preserve"> City Council as</w:t>
      </w:r>
      <w:r w:rsidR="00052795" w:rsidRPr="006B780A">
        <w:rPr>
          <w:rFonts w:cs="Arial"/>
        </w:rPr>
        <w:t xml:space="preserve"> local planning authority</w:t>
      </w:r>
      <w:r w:rsidR="005E501E">
        <w:rPr>
          <w:rFonts w:cs="Arial"/>
        </w:rPr>
        <w:t>.</w:t>
      </w:r>
      <w:r w:rsidR="001D5566">
        <w:rPr>
          <w:rFonts w:cs="Arial"/>
        </w:rPr>
        <w:t xml:space="preserve"> Redrow have also presented their plans to BICEP and they were well received</w:t>
      </w:r>
      <w:r w:rsidR="005E501E">
        <w:rPr>
          <w:rFonts w:cs="Arial"/>
        </w:rPr>
        <w:t xml:space="preserve">. </w:t>
      </w:r>
      <w:r w:rsidR="00765552">
        <w:rPr>
          <w:rFonts w:cs="Arial"/>
        </w:rPr>
        <w:t>Redrow</w:t>
      </w:r>
      <w:r w:rsidR="001D769D">
        <w:rPr>
          <w:rFonts w:cs="Arial"/>
        </w:rPr>
        <w:t xml:space="preserve"> have submitted the</w:t>
      </w:r>
      <w:r w:rsidR="00FA06BA">
        <w:rPr>
          <w:rFonts w:cs="Arial"/>
        </w:rPr>
        <w:t xml:space="preserve"> Reserved Matters Ap</w:t>
      </w:r>
      <w:r w:rsidR="001D769D">
        <w:rPr>
          <w:rFonts w:cs="Arial"/>
        </w:rPr>
        <w:t>plication</w:t>
      </w:r>
      <w:r w:rsidR="00FA06BA">
        <w:rPr>
          <w:rFonts w:cs="Arial"/>
        </w:rPr>
        <w:t xml:space="preserve"> (RMA)</w:t>
      </w:r>
      <w:r w:rsidR="001D769D">
        <w:rPr>
          <w:rFonts w:cs="Arial"/>
        </w:rPr>
        <w:t xml:space="preserve"> and</w:t>
      </w:r>
      <w:r w:rsidR="00765552">
        <w:rPr>
          <w:rFonts w:cs="Arial"/>
        </w:rPr>
        <w:t xml:space="preserve"> will consult on the proposals through the planning process </w:t>
      </w:r>
      <w:r w:rsidR="001D769D">
        <w:rPr>
          <w:rFonts w:cs="Arial"/>
        </w:rPr>
        <w:t xml:space="preserve">The application is likely to go to East Area Planning </w:t>
      </w:r>
      <w:r w:rsidR="00DC4249">
        <w:rPr>
          <w:rFonts w:cs="Arial"/>
        </w:rPr>
        <w:t xml:space="preserve">Committee </w:t>
      </w:r>
      <w:r w:rsidR="001D769D">
        <w:rPr>
          <w:rFonts w:cs="Arial"/>
        </w:rPr>
        <w:t>in July or August</w:t>
      </w:r>
      <w:r w:rsidR="0039218D">
        <w:rPr>
          <w:rFonts w:cs="Arial"/>
        </w:rPr>
        <w:t xml:space="preserve"> 2019</w:t>
      </w:r>
      <w:r w:rsidR="005E501E">
        <w:rPr>
          <w:rFonts w:cs="Arial"/>
        </w:rPr>
        <w:t xml:space="preserve"> .</w:t>
      </w:r>
      <w:r w:rsidR="00052795" w:rsidRPr="006B780A">
        <w:rPr>
          <w:rFonts w:cs="Arial"/>
        </w:rPr>
        <w:t xml:space="preserve">Discussions have </w:t>
      </w:r>
      <w:r w:rsidR="00765552">
        <w:rPr>
          <w:rFonts w:cs="Arial"/>
        </w:rPr>
        <w:t xml:space="preserve">also </w:t>
      </w:r>
      <w:r w:rsidR="00052795" w:rsidRPr="006B780A">
        <w:rPr>
          <w:rFonts w:cs="Arial"/>
        </w:rPr>
        <w:t xml:space="preserve">started with the </w:t>
      </w:r>
      <w:r w:rsidR="00E41E74">
        <w:rPr>
          <w:rFonts w:cs="Arial"/>
        </w:rPr>
        <w:t>Council</w:t>
      </w:r>
      <w:r w:rsidR="00052795" w:rsidRPr="006B780A">
        <w:rPr>
          <w:rFonts w:cs="Arial"/>
        </w:rPr>
        <w:t xml:space="preserve"> around the 83 social rented homes that will be purchased on completion</w:t>
      </w:r>
      <w:r w:rsidR="005E501E">
        <w:rPr>
          <w:rFonts w:cs="Arial"/>
        </w:rPr>
        <w:t xml:space="preserve"> and</w:t>
      </w:r>
      <w:r w:rsidR="00765552">
        <w:rPr>
          <w:rFonts w:cs="Arial"/>
        </w:rPr>
        <w:t xml:space="preserve"> </w:t>
      </w:r>
      <w:r w:rsidR="005337FE" w:rsidRPr="006B780A">
        <w:rPr>
          <w:rFonts w:cs="Arial"/>
        </w:rPr>
        <w:t xml:space="preserve">Redrow expect to be on site in </w:t>
      </w:r>
      <w:r w:rsidR="005E501E">
        <w:rPr>
          <w:rFonts w:cs="Arial"/>
        </w:rPr>
        <w:t>A</w:t>
      </w:r>
      <w:r w:rsidR="005337FE" w:rsidRPr="006B780A">
        <w:rPr>
          <w:rFonts w:cs="Arial"/>
        </w:rPr>
        <w:t>utumn</w:t>
      </w:r>
      <w:r w:rsidR="00765552">
        <w:rPr>
          <w:rFonts w:cs="Arial"/>
        </w:rPr>
        <w:t xml:space="preserve"> 2019</w:t>
      </w:r>
      <w:r w:rsidR="005337FE" w:rsidRPr="006B780A">
        <w:rPr>
          <w:rFonts w:cs="Arial"/>
        </w:rPr>
        <w:t>.</w:t>
      </w:r>
    </w:p>
    <w:p w:rsidR="009D0644" w:rsidRDefault="009D0644" w:rsidP="000C6786">
      <w:pPr>
        <w:pStyle w:val="ListParagraph"/>
        <w:numPr>
          <w:ilvl w:val="0"/>
          <w:numId w:val="0"/>
        </w:numPr>
        <w:jc w:val="both"/>
        <w:rPr>
          <w:rFonts w:cs="Arial"/>
          <w:b/>
        </w:rPr>
      </w:pPr>
    </w:p>
    <w:p w:rsidR="00765552" w:rsidRPr="000A3C51" w:rsidRDefault="00765552" w:rsidP="000C6786">
      <w:pPr>
        <w:pStyle w:val="ListParagraph"/>
        <w:numPr>
          <w:ilvl w:val="0"/>
          <w:numId w:val="0"/>
        </w:numPr>
        <w:ind w:left="426"/>
        <w:jc w:val="both"/>
        <w:rPr>
          <w:rFonts w:cs="Arial"/>
          <w:b/>
        </w:rPr>
      </w:pPr>
      <w:r w:rsidRPr="000A3C51">
        <w:rPr>
          <w:rFonts w:cs="Arial"/>
          <w:b/>
        </w:rPr>
        <w:t>Further Phases</w:t>
      </w:r>
    </w:p>
    <w:p w:rsidR="0034623F" w:rsidRPr="00DC4249" w:rsidRDefault="00052795" w:rsidP="000C6786">
      <w:pPr>
        <w:pStyle w:val="ListParagraph"/>
        <w:jc w:val="both"/>
        <w:rPr>
          <w:rFonts w:cs="Arial"/>
          <w:color w:val="auto"/>
        </w:rPr>
      </w:pPr>
      <w:r w:rsidRPr="006B780A">
        <w:rPr>
          <w:rFonts w:cs="Arial"/>
        </w:rPr>
        <w:t xml:space="preserve">Negotiations with interested parties are </w:t>
      </w:r>
      <w:r w:rsidR="00765552">
        <w:rPr>
          <w:rFonts w:cs="Arial"/>
        </w:rPr>
        <w:t>underway</w:t>
      </w:r>
      <w:r w:rsidR="00765552" w:rsidRPr="006B780A">
        <w:rPr>
          <w:rFonts w:cs="Arial"/>
        </w:rPr>
        <w:t xml:space="preserve"> </w:t>
      </w:r>
      <w:r w:rsidRPr="006B780A">
        <w:rPr>
          <w:rFonts w:cs="Arial"/>
        </w:rPr>
        <w:t xml:space="preserve">on </w:t>
      </w:r>
      <w:r w:rsidR="005E501E">
        <w:rPr>
          <w:rFonts w:cs="Arial"/>
        </w:rPr>
        <w:t>the remaining p</w:t>
      </w:r>
      <w:r w:rsidRPr="006B780A">
        <w:rPr>
          <w:rFonts w:cs="Arial"/>
        </w:rPr>
        <w:t>hases.</w:t>
      </w:r>
      <w:r w:rsidR="008B31BF" w:rsidRPr="006B780A">
        <w:rPr>
          <w:rFonts w:cs="Arial"/>
        </w:rPr>
        <w:t xml:space="preserve"> </w:t>
      </w:r>
      <w:r w:rsidR="00765552">
        <w:rPr>
          <w:rFonts w:cs="Arial"/>
        </w:rPr>
        <w:t>It is difficult to predict with certainty the timescales for the future phases as these are dependent on negotiations with house</w:t>
      </w:r>
      <w:r w:rsidR="00837BF7">
        <w:rPr>
          <w:rFonts w:cs="Arial"/>
        </w:rPr>
        <w:t xml:space="preserve"> </w:t>
      </w:r>
      <w:r w:rsidR="00765552">
        <w:rPr>
          <w:rFonts w:cs="Arial"/>
        </w:rPr>
        <w:t>builders</w:t>
      </w:r>
      <w:r w:rsidR="001D769D">
        <w:rPr>
          <w:rFonts w:cs="Arial"/>
        </w:rPr>
        <w:t xml:space="preserve"> </w:t>
      </w:r>
      <w:proofErr w:type="gramStart"/>
      <w:r w:rsidR="001D769D" w:rsidRPr="00DC4249">
        <w:rPr>
          <w:rFonts w:cs="Arial"/>
          <w:color w:val="auto"/>
        </w:rPr>
        <w:t>T</w:t>
      </w:r>
      <w:r w:rsidR="00765552" w:rsidRPr="00DC4249">
        <w:rPr>
          <w:rFonts w:cs="Arial"/>
          <w:color w:val="auto"/>
        </w:rPr>
        <w:t>he</w:t>
      </w:r>
      <w:proofErr w:type="gramEnd"/>
      <w:r w:rsidR="00765552" w:rsidRPr="00DC4249">
        <w:rPr>
          <w:rFonts w:cs="Arial"/>
          <w:color w:val="auto"/>
        </w:rPr>
        <w:t xml:space="preserve"> outline planning consent requires planning applications </w:t>
      </w:r>
      <w:r w:rsidR="00C95EFF">
        <w:rPr>
          <w:rFonts w:cs="Arial"/>
          <w:color w:val="auto"/>
        </w:rPr>
        <w:t>to be submitted fo</w:t>
      </w:r>
      <w:r w:rsidR="00765552" w:rsidRPr="00DC4249">
        <w:rPr>
          <w:rFonts w:cs="Arial"/>
          <w:color w:val="auto"/>
        </w:rPr>
        <w:t>r all phases by 2023.</w:t>
      </w:r>
    </w:p>
    <w:p w:rsidR="00765552" w:rsidRDefault="0001562B" w:rsidP="000C6786">
      <w:pPr>
        <w:pStyle w:val="ListParagraph"/>
        <w:numPr>
          <w:ilvl w:val="0"/>
          <w:numId w:val="0"/>
        </w:numPr>
        <w:ind w:left="360"/>
        <w:jc w:val="both"/>
        <w:rPr>
          <w:rFonts w:cs="Arial"/>
          <w:b/>
        </w:rPr>
      </w:pPr>
      <w:r w:rsidRPr="000A3C51">
        <w:rPr>
          <w:rFonts w:cs="Arial"/>
          <w:b/>
        </w:rPr>
        <w:t>Community facilities</w:t>
      </w:r>
    </w:p>
    <w:p w:rsidR="00F73CD4" w:rsidRPr="00F73CD4" w:rsidRDefault="00F73CD4" w:rsidP="000C6786">
      <w:pPr>
        <w:pStyle w:val="ListParagraph"/>
        <w:jc w:val="both"/>
      </w:pPr>
      <w:r>
        <w:t>A</w:t>
      </w:r>
      <w:r w:rsidRPr="00F73CD4">
        <w:t xml:space="preserve"> ra</w:t>
      </w:r>
      <w:r>
        <w:t>nge of new community facilities are included as an integral part of the overall development</w:t>
      </w:r>
    </w:p>
    <w:p w:rsidR="00787354" w:rsidRPr="006B780A" w:rsidRDefault="00052795" w:rsidP="000C6786">
      <w:pPr>
        <w:pStyle w:val="bParagraphtext"/>
        <w:jc w:val="both"/>
        <w:rPr>
          <w:rFonts w:cs="Arial"/>
        </w:rPr>
      </w:pPr>
      <w:r w:rsidRPr="006B780A">
        <w:rPr>
          <w:rFonts w:cs="Arial"/>
        </w:rPr>
        <w:t xml:space="preserve">The County </w:t>
      </w:r>
      <w:r w:rsidR="00E41E74">
        <w:rPr>
          <w:rFonts w:cs="Arial"/>
        </w:rPr>
        <w:t>Council</w:t>
      </w:r>
      <w:r w:rsidRPr="006B780A">
        <w:rPr>
          <w:rFonts w:cs="Arial"/>
        </w:rPr>
        <w:t xml:space="preserve"> have applied for planning permission for a </w:t>
      </w:r>
      <w:r w:rsidR="00787354" w:rsidRPr="006B780A">
        <w:rPr>
          <w:rFonts w:cs="Arial"/>
        </w:rPr>
        <w:t xml:space="preserve">primary </w:t>
      </w:r>
      <w:proofErr w:type="gramStart"/>
      <w:r w:rsidR="00787354" w:rsidRPr="006B780A">
        <w:rPr>
          <w:rFonts w:cs="Arial"/>
        </w:rPr>
        <w:t>school</w:t>
      </w:r>
      <w:r w:rsidR="00C95EFF">
        <w:rPr>
          <w:rFonts w:cs="Arial"/>
        </w:rPr>
        <w:t xml:space="preserve"> </w:t>
      </w:r>
      <w:r w:rsidR="00787354" w:rsidRPr="006B780A">
        <w:rPr>
          <w:rFonts w:cs="Arial"/>
        </w:rPr>
        <w:t xml:space="preserve"> at</w:t>
      </w:r>
      <w:proofErr w:type="gramEnd"/>
      <w:r w:rsidR="00787354" w:rsidRPr="006B780A">
        <w:rPr>
          <w:rFonts w:cs="Arial"/>
        </w:rPr>
        <w:t xml:space="preserve"> the heart of the </w:t>
      </w:r>
      <w:r w:rsidR="00837BF7" w:rsidRPr="006B780A">
        <w:rPr>
          <w:rFonts w:cs="Arial"/>
        </w:rPr>
        <w:t xml:space="preserve">development. </w:t>
      </w:r>
      <w:r w:rsidR="00787354" w:rsidRPr="006B780A">
        <w:rPr>
          <w:rFonts w:cs="Arial"/>
        </w:rPr>
        <w:t>BOLLP has had input at the design stage as this is a key building.</w:t>
      </w:r>
      <w:r w:rsidR="00F73CD4">
        <w:rPr>
          <w:rFonts w:cs="Arial"/>
        </w:rPr>
        <w:t xml:space="preserve"> </w:t>
      </w:r>
      <w:r w:rsidR="00860CD2" w:rsidRPr="006B780A">
        <w:rPr>
          <w:rFonts w:cs="Arial"/>
        </w:rPr>
        <w:t xml:space="preserve">It is </w:t>
      </w:r>
      <w:r w:rsidR="00F73CD4">
        <w:rPr>
          <w:rFonts w:cs="Arial"/>
        </w:rPr>
        <w:t xml:space="preserve">anticipated </w:t>
      </w:r>
      <w:r w:rsidR="00860CD2" w:rsidRPr="006B780A">
        <w:rPr>
          <w:rFonts w:cs="Arial"/>
        </w:rPr>
        <w:t>that this will be determined by</w:t>
      </w:r>
      <w:r w:rsidR="00F73CD4">
        <w:rPr>
          <w:rFonts w:cs="Arial"/>
        </w:rPr>
        <w:t xml:space="preserve"> the</w:t>
      </w:r>
      <w:r w:rsidR="00860CD2" w:rsidRPr="006B780A">
        <w:rPr>
          <w:rFonts w:cs="Arial"/>
        </w:rPr>
        <w:t xml:space="preserve"> end</w:t>
      </w:r>
      <w:r w:rsidR="00F73CD4">
        <w:rPr>
          <w:rFonts w:cs="Arial"/>
        </w:rPr>
        <w:t xml:space="preserve"> of </w:t>
      </w:r>
      <w:r w:rsidR="00860CD2" w:rsidRPr="006B780A">
        <w:rPr>
          <w:rFonts w:cs="Arial"/>
        </w:rPr>
        <w:t>June</w:t>
      </w:r>
      <w:r w:rsidR="00F73CD4">
        <w:rPr>
          <w:rFonts w:cs="Arial"/>
        </w:rPr>
        <w:t xml:space="preserve"> 2019</w:t>
      </w:r>
      <w:r w:rsidR="00860CD2" w:rsidRPr="006B780A">
        <w:rPr>
          <w:rFonts w:cs="Arial"/>
        </w:rPr>
        <w:t>.</w:t>
      </w:r>
      <w:r w:rsidR="00787354" w:rsidRPr="006B780A">
        <w:rPr>
          <w:rFonts w:cs="Arial"/>
        </w:rPr>
        <w:t xml:space="preserve"> Final details of the lease between BOLLP and</w:t>
      </w:r>
      <w:r w:rsidR="00F73CD4">
        <w:rPr>
          <w:rFonts w:cs="Arial"/>
        </w:rPr>
        <w:t xml:space="preserve"> the</w:t>
      </w:r>
      <w:r w:rsidR="00787354" w:rsidRPr="006B780A">
        <w:rPr>
          <w:rFonts w:cs="Arial"/>
        </w:rPr>
        <w:t xml:space="preserve"> County </w:t>
      </w:r>
      <w:r w:rsidR="00F73CD4">
        <w:rPr>
          <w:rFonts w:cs="Arial"/>
        </w:rPr>
        <w:t xml:space="preserve">Council </w:t>
      </w:r>
      <w:r w:rsidR="00787354" w:rsidRPr="006B780A">
        <w:rPr>
          <w:rFonts w:cs="Arial"/>
        </w:rPr>
        <w:t xml:space="preserve">are </w:t>
      </w:r>
      <w:r w:rsidR="00F73CD4">
        <w:rPr>
          <w:rFonts w:cs="Arial"/>
        </w:rPr>
        <w:t xml:space="preserve">currently </w:t>
      </w:r>
      <w:r w:rsidR="00787354" w:rsidRPr="006B780A">
        <w:rPr>
          <w:rFonts w:cs="Arial"/>
        </w:rPr>
        <w:t xml:space="preserve">being </w:t>
      </w:r>
      <w:r w:rsidR="00F73CD4">
        <w:rPr>
          <w:rFonts w:cs="Arial"/>
        </w:rPr>
        <w:t xml:space="preserve">finalised. </w:t>
      </w:r>
      <w:r w:rsidR="00787354" w:rsidRPr="006B780A">
        <w:rPr>
          <w:rFonts w:cs="Arial"/>
        </w:rPr>
        <w:t>The school is</w:t>
      </w:r>
      <w:r w:rsidR="00F73CD4">
        <w:rPr>
          <w:rFonts w:cs="Arial"/>
        </w:rPr>
        <w:t xml:space="preserve"> programmed </w:t>
      </w:r>
      <w:r w:rsidR="00787354" w:rsidRPr="006B780A">
        <w:rPr>
          <w:rFonts w:cs="Arial"/>
        </w:rPr>
        <w:t xml:space="preserve">to be built and </w:t>
      </w:r>
      <w:r w:rsidR="005337FE" w:rsidRPr="006B780A">
        <w:rPr>
          <w:rFonts w:cs="Arial"/>
        </w:rPr>
        <w:t>open</w:t>
      </w:r>
      <w:r w:rsidR="00787354" w:rsidRPr="006B780A">
        <w:rPr>
          <w:rFonts w:cs="Arial"/>
        </w:rPr>
        <w:t xml:space="preserve"> by </w:t>
      </w:r>
      <w:r w:rsidR="00C95EFF">
        <w:rPr>
          <w:rFonts w:cs="Arial"/>
        </w:rPr>
        <w:t>September</w:t>
      </w:r>
      <w:r w:rsidR="005337FE" w:rsidRPr="006B780A">
        <w:rPr>
          <w:rFonts w:cs="Arial"/>
        </w:rPr>
        <w:t xml:space="preserve"> 2020.</w:t>
      </w:r>
      <w:r w:rsidR="006B780A" w:rsidRPr="006B780A">
        <w:rPr>
          <w:rFonts w:cs="Arial"/>
        </w:rPr>
        <w:t xml:space="preserve"> Community facilities are</w:t>
      </w:r>
      <w:r w:rsidR="00F73CD4">
        <w:rPr>
          <w:rFonts w:cs="Arial"/>
        </w:rPr>
        <w:t xml:space="preserve"> being</w:t>
      </w:r>
      <w:r w:rsidR="006B780A" w:rsidRPr="006B780A">
        <w:rPr>
          <w:rFonts w:cs="Arial"/>
        </w:rPr>
        <w:t xml:space="preserve"> provided within the school and will be subject to a joint use agreement. </w:t>
      </w:r>
    </w:p>
    <w:p w:rsidR="00F73CD4" w:rsidRDefault="00860CD2" w:rsidP="000C6786">
      <w:pPr>
        <w:pStyle w:val="bParagraphtext"/>
        <w:jc w:val="both"/>
        <w:rPr>
          <w:rFonts w:cs="Arial"/>
        </w:rPr>
      </w:pPr>
      <w:r w:rsidRPr="006B780A">
        <w:rPr>
          <w:rFonts w:cs="Arial"/>
        </w:rPr>
        <w:t xml:space="preserve">The new pavilion and sports facilities have been handed over to the City </w:t>
      </w:r>
      <w:r w:rsidR="00E41E74">
        <w:rPr>
          <w:rFonts w:cs="Arial"/>
        </w:rPr>
        <w:t>Council</w:t>
      </w:r>
      <w:r w:rsidRPr="006B780A">
        <w:rPr>
          <w:rFonts w:cs="Arial"/>
        </w:rPr>
        <w:t xml:space="preserve">. This has been a particularly challenging part of the site and delays have </w:t>
      </w:r>
      <w:r w:rsidR="005337FE" w:rsidRPr="006B780A">
        <w:rPr>
          <w:rFonts w:cs="Arial"/>
        </w:rPr>
        <w:t>occurred. Snagging works are currently being undertaken and final negotiations around the lease are drawing to a close.</w:t>
      </w:r>
      <w:r w:rsidR="006B780A" w:rsidRPr="006B780A">
        <w:rPr>
          <w:rFonts w:cs="Arial"/>
        </w:rPr>
        <w:t xml:space="preserve"> The </w:t>
      </w:r>
      <w:r w:rsidR="00E41E74">
        <w:rPr>
          <w:rFonts w:cs="Arial"/>
        </w:rPr>
        <w:t>Council</w:t>
      </w:r>
      <w:r w:rsidR="006B780A" w:rsidRPr="006B780A">
        <w:rPr>
          <w:rFonts w:cs="Arial"/>
        </w:rPr>
        <w:t xml:space="preserve"> will take a long term lease and grant a lease to the Phoenix Sports Association</w:t>
      </w:r>
      <w:r w:rsidR="00F73CD4">
        <w:rPr>
          <w:rFonts w:cs="Arial"/>
        </w:rPr>
        <w:t xml:space="preserve">. </w:t>
      </w:r>
      <w:r w:rsidR="006B780A" w:rsidRPr="006B780A">
        <w:rPr>
          <w:rFonts w:cs="Arial"/>
        </w:rPr>
        <w:t>This will provide a first class facility for the community</w:t>
      </w:r>
      <w:r w:rsidR="00F73CD4">
        <w:rPr>
          <w:rFonts w:cs="Arial"/>
        </w:rPr>
        <w:t xml:space="preserve"> going forward</w:t>
      </w:r>
    </w:p>
    <w:p w:rsidR="00787354" w:rsidRPr="006B780A" w:rsidRDefault="00E847F4" w:rsidP="000C6786">
      <w:pPr>
        <w:pStyle w:val="bParagraphtext"/>
        <w:jc w:val="both"/>
        <w:rPr>
          <w:rFonts w:cs="Arial"/>
        </w:rPr>
      </w:pPr>
      <w:r>
        <w:rPr>
          <w:rFonts w:cs="Arial"/>
        </w:rPr>
        <w:t>The linear park, fitness trail and play facilities are now complete.</w:t>
      </w:r>
      <w:r w:rsidR="006B780A" w:rsidRPr="006B780A">
        <w:rPr>
          <w:rFonts w:cs="Arial"/>
        </w:rPr>
        <w:t xml:space="preserve"> </w:t>
      </w:r>
      <w:r w:rsidR="00860CD2" w:rsidRPr="006B780A">
        <w:rPr>
          <w:rFonts w:cs="Arial"/>
        </w:rPr>
        <w:t xml:space="preserve">  </w:t>
      </w:r>
    </w:p>
    <w:p w:rsidR="000C6786" w:rsidRDefault="00E847F4" w:rsidP="000C6786">
      <w:pPr>
        <w:pStyle w:val="bParagraphtext"/>
        <w:jc w:val="both"/>
        <w:rPr>
          <w:rFonts w:cs="Arial"/>
        </w:rPr>
      </w:pPr>
      <w:r>
        <w:rPr>
          <w:rFonts w:cs="Arial"/>
        </w:rPr>
        <w:t>A piece of public art will also be provided and this is subject to further consultation before proposals are finalised and moved into delivery phase</w:t>
      </w:r>
      <w:r w:rsidR="00F741CE" w:rsidRPr="006B780A">
        <w:rPr>
          <w:rFonts w:cs="Arial"/>
        </w:rPr>
        <w:t>.</w:t>
      </w:r>
    </w:p>
    <w:p w:rsidR="000C6786" w:rsidRPr="000C6786" w:rsidRDefault="000C6786" w:rsidP="000C6786">
      <w:pPr>
        <w:rPr>
          <w:b/>
        </w:rPr>
      </w:pPr>
      <w:r w:rsidRPr="000C6786">
        <w:rPr>
          <w:b/>
        </w:rPr>
        <w:t>Financial Implications</w:t>
      </w:r>
    </w:p>
    <w:p w:rsidR="000C6786" w:rsidRPr="000C6786" w:rsidRDefault="00E847F4" w:rsidP="000C6786">
      <w:pPr>
        <w:pStyle w:val="bParagraphtext"/>
        <w:jc w:val="both"/>
        <w:rPr>
          <w:rFonts w:cs="Arial"/>
        </w:rPr>
      </w:pPr>
      <w:r w:rsidRPr="000C6786">
        <w:rPr>
          <w:rFonts w:cs="Arial"/>
        </w:rPr>
        <w:t xml:space="preserve">Under the terms of the agreement, the Council put its land into the JV at an agreed price, payment for which was to be deferred and interest accrued. </w:t>
      </w:r>
      <w:r w:rsidRPr="000C6786">
        <w:rPr>
          <w:rFonts w:eastAsia="Calibri" w:cs="Arial"/>
          <w:color w:val="auto"/>
          <w:lang w:eastAsia="en-US"/>
        </w:rPr>
        <w:t>G</w:t>
      </w:r>
      <w:r w:rsidR="005F340C">
        <w:rPr>
          <w:rFonts w:eastAsia="Calibri" w:cs="Arial"/>
          <w:color w:val="auto"/>
          <w:lang w:eastAsia="en-US"/>
        </w:rPr>
        <w:t>DL</w:t>
      </w:r>
      <w:r w:rsidRPr="000C6786">
        <w:rPr>
          <w:rFonts w:eastAsia="Calibri" w:cs="Arial"/>
          <w:color w:val="auto"/>
          <w:lang w:eastAsia="en-US"/>
        </w:rPr>
        <w:t xml:space="preserve"> agreed to provide the finance required to gain planning permission, discharge all s106 requirements, design and build the infrastructure for the site and pay all fees required to be able to sell serviced parcels. These payments are dependent on final costs and values achieved through the scheme.</w:t>
      </w:r>
    </w:p>
    <w:p w:rsidR="000C6786" w:rsidRPr="000C6786" w:rsidRDefault="00E847F4" w:rsidP="000C6786">
      <w:pPr>
        <w:pStyle w:val="bParagraphtext"/>
        <w:jc w:val="both"/>
        <w:rPr>
          <w:rFonts w:cs="Arial"/>
        </w:rPr>
      </w:pPr>
      <w:r w:rsidRPr="000C6786">
        <w:rPr>
          <w:rFonts w:eastAsia="Calibri" w:cs="Arial"/>
          <w:color w:val="auto"/>
          <w:lang w:eastAsia="en-US"/>
        </w:rPr>
        <w:t xml:space="preserve">The agreement sets out a waterfall of payments to both Grosvenor Development Limited (GDL) and the Council as income is received from the development. This includes payments to GDL for its costs, payment to the </w:t>
      </w:r>
      <w:r w:rsidRPr="000C6786">
        <w:rPr>
          <w:rFonts w:eastAsia="Calibri" w:cs="Arial"/>
          <w:color w:val="auto"/>
          <w:lang w:eastAsia="en-US"/>
        </w:rPr>
        <w:lastRenderedPageBreak/>
        <w:t xml:space="preserve">council for its land and how any profit from the scheme is to be split.  </w:t>
      </w:r>
      <w:r w:rsidR="00C95EFF">
        <w:rPr>
          <w:rFonts w:eastAsia="Calibri" w:cs="Arial"/>
          <w:color w:val="auto"/>
          <w:lang w:eastAsia="en-US"/>
        </w:rPr>
        <w:t xml:space="preserve">The agreed waterfall reflects the comparative risk profiles of the two development partners.  </w:t>
      </w:r>
      <w:r w:rsidRPr="000C6786">
        <w:rPr>
          <w:rFonts w:eastAsia="Calibri" w:cs="Arial"/>
          <w:color w:val="auto"/>
          <w:lang w:eastAsia="en-US"/>
        </w:rPr>
        <w:t xml:space="preserve">The primary objective for the council in developing the site was not to make a profit, but to bring forward a high quality residential development with significant provision of affordable housing. </w:t>
      </w:r>
    </w:p>
    <w:p w:rsidR="000C6786" w:rsidRPr="000C6786" w:rsidRDefault="00E847F4" w:rsidP="000C6786">
      <w:pPr>
        <w:pStyle w:val="bParagraphtext"/>
        <w:jc w:val="both"/>
        <w:rPr>
          <w:rFonts w:cs="Arial"/>
        </w:rPr>
      </w:pPr>
      <w:r w:rsidRPr="000C6786">
        <w:rPr>
          <w:rFonts w:eastAsia="Calibri" w:cs="Arial"/>
          <w:color w:val="auto"/>
          <w:lang w:eastAsia="en-US"/>
        </w:rPr>
        <w:t xml:space="preserve">It is not unusual for the expected profit for such a large scheme to flex considerably throughout the development </w:t>
      </w:r>
      <w:r w:rsidRPr="0089027F">
        <w:rPr>
          <w:rFonts w:eastAsia="Calibri" w:cs="Arial"/>
          <w:color w:val="auto"/>
          <w:lang w:eastAsia="en-US"/>
        </w:rPr>
        <w:t>timeline as costs and values change</w:t>
      </w:r>
      <w:r w:rsidR="00C95EFF" w:rsidRPr="0089027F">
        <w:rPr>
          <w:rFonts w:eastAsia="Calibri" w:cs="Arial"/>
          <w:color w:val="auto"/>
          <w:lang w:eastAsia="en-US"/>
        </w:rPr>
        <w:t xml:space="preserve"> due to the lengthy timescales involved</w:t>
      </w:r>
      <w:r w:rsidRPr="0089027F">
        <w:rPr>
          <w:rFonts w:eastAsia="Calibri" w:cs="Arial"/>
          <w:color w:val="auto"/>
          <w:lang w:eastAsia="en-US"/>
        </w:rPr>
        <w:t xml:space="preserve">. </w:t>
      </w:r>
      <w:r w:rsidR="0089027F" w:rsidRPr="0089027F">
        <w:rPr>
          <w:rFonts w:eastAsia="Calibri" w:cs="Arial"/>
          <w:color w:val="auto"/>
          <w:lang w:eastAsia="en-US"/>
        </w:rPr>
        <w:t xml:space="preserve">. When the agreement was made, the value of the land transferred to the LLP was </w:t>
      </w:r>
      <w:r w:rsidR="0089027F" w:rsidRPr="0089027F">
        <w:rPr>
          <w:rFonts w:cs="Arial"/>
        </w:rPr>
        <w:t>£0.850million</w:t>
      </w:r>
      <w:r w:rsidR="0089027F" w:rsidRPr="0089027F">
        <w:rPr>
          <w:rFonts w:eastAsia="Calibri" w:cs="Arial"/>
          <w:color w:val="auto"/>
          <w:lang w:eastAsia="en-US"/>
        </w:rPr>
        <w:t xml:space="preserve"> </w:t>
      </w:r>
      <w:proofErr w:type="gramStart"/>
      <w:r w:rsidR="0089027F" w:rsidRPr="0089027F">
        <w:rPr>
          <w:rFonts w:eastAsia="Calibri" w:cs="Arial"/>
          <w:color w:val="auto"/>
          <w:lang w:eastAsia="en-US"/>
        </w:rPr>
        <w:t>The</w:t>
      </w:r>
      <w:proofErr w:type="gramEnd"/>
      <w:r w:rsidR="0089027F" w:rsidRPr="0089027F">
        <w:rPr>
          <w:rFonts w:eastAsia="Calibri" w:cs="Arial"/>
          <w:color w:val="auto"/>
          <w:lang w:eastAsia="en-US"/>
        </w:rPr>
        <w:t xml:space="preserve"> modelling indicated that the Council might also receive a proportion of the profit. However due to the level of uncertaint</w:t>
      </w:r>
      <w:r w:rsidR="0089027F" w:rsidRPr="000C6786">
        <w:rPr>
          <w:rFonts w:eastAsia="Calibri" w:cs="Arial"/>
          <w:color w:val="auto"/>
          <w:lang w:eastAsia="en-US"/>
        </w:rPr>
        <w:t>y around any payments arising from this, the Council took a prudent approach and only included the land payment in its accounts</w:t>
      </w:r>
      <w:r w:rsidR="0089027F">
        <w:rPr>
          <w:rFonts w:eastAsia="Calibri" w:cs="Arial"/>
          <w:color w:val="auto"/>
          <w:lang w:eastAsia="en-US"/>
        </w:rPr>
        <w:t>, which up to 31-3-2018 including interest was £1.17million</w:t>
      </w:r>
      <w:r w:rsidR="0089027F" w:rsidRPr="000C6786">
        <w:rPr>
          <w:rFonts w:eastAsia="Calibri" w:cs="Arial"/>
          <w:color w:val="auto"/>
          <w:lang w:eastAsia="en-US"/>
        </w:rPr>
        <w:t xml:space="preserve"> The latest projections show that the Council should not expect to receive payment for land value or profit and that GDL do not expect to receive all its payments under the terms of the agreement</w:t>
      </w:r>
      <w:r w:rsidRPr="000C6786">
        <w:rPr>
          <w:rFonts w:eastAsia="Calibri" w:cs="Arial"/>
          <w:color w:val="auto"/>
          <w:lang w:eastAsia="en-US"/>
        </w:rPr>
        <w:t>.</w:t>
      </w:r>
    </w:p>
    <w:p w:rsidR="000C6786" w:rsidRPr="000C6786" w:rsidRDefault="00E847F4" w:rsidP="000C6786">
      <w:pPr>
        <w:pStyle w:val="bParagraphtext"/>
        <w:jc w:val="both"/>
        <w:rPr>
          <w:rFonts w:cs="Arial"/>
        </w:rPr>
      </w:pPr>
      <w:r w:rsidRPr="000C6786">
        <w:rPr>
          <w:rFonts w:eastAsia="Calibri" w:cs="Arial"/>
          <w:color w:val="auto"/>
          <w:lang w:eastAsia="en-US"/>
        </w:rPr>
        <w:t xml:space="preserve">The reason for the reduction in expected payments is partly due to the changes in the residential market, but also a significant increase in costs as a result of the development taking longer to build out than originally envisaged. </w:t>
      </w:r>
      <w:r w:rsidR="003448AA">
        <w:rPr>
          <w:rFonts w:eastAsia="Calibri" w:cs="Arial"/>
          <w:color w:val="auto"/>
          <w:lang w:eastAsia="en-US"/>
        </w:rPr>
        <w:t>Fo</w:t>
      </w:r>
      <w:r w:rsidRPr="000C6786">
        <w:rPr>
          <w:rFonts w:eastAsia="Calibri" w:cs="Arial"/>
          <w:color w:val="auto"/>
          <w:lang w:eastAsia="en-US"/>
        </w:rPr>
        <w:t>r example, the s106 costs are indexed and payment linked in many cases to numbers of households in occupation</w:t>
      </w:r>
      <w:r w:rsidR="00CE4949">
        <w:rPr>
          <w:rFonts w:eastAsia="Calibri" w:cs="Arial"/>
          <w:color w:val="auto"/>
          <w:lang w:eastAsia="en-US"/>
        </w:rPr>
        <w:t xml:space="preserve">. </w:t>
      </w:r>
      <w:r w:rsidR="003448AA">
        <w:rPr>
          <w:rFonts w:eastAsia="Calibri" w:cs="Arial"/>
          <w:color w:val="auto"/>
          <w:lang w:eastAsia="en-US"/>
        </w:rPr>
        <w:t xml:space="preserve"> Because the scheme is taking longer to deliver, the occupation numbers are also further in the future and</w:t>
      </w:r>
      <w:r w:rsidR="00402A0B">
        <w:rPr>
          <w:rFonts w:eastAsia="Calibri" w:cs="Arial"/>
          <w:color w:val="auto"/>
          <w:lang w:eastAsia="en-US"/>
        </w:rPr>
        <w:t xml:space="preserve"> </w:t>
      </w:r>
      <w:proofErr w:type="gramStart"/>
      <w:r w:rsidR="00402A0B">
        <w:rPr>
          <w:rFonts w:eastAsia="Calibri" w:cs="Arial"/>
          <w:color w:val="auto"/>
          <w:lang w:eastAsia="en-US"/>
        </w:rPr>
        <w:t xml:space="preserve">so </w:t>
      </w:r>
      <w:r w:rsidR="003448AA">
        <w:rPr>
          <w:rFonts w:eastAsia="Calibri" w:cs="Arial"/>
          <w:color w:val="auto"/>
          <w:lang w:eastAsia="en-US"/>
        </w:rPr>
        <w:t xml:space="preserve"> the</w:t>
      </w:r>
      <w:proofErr w:type="gramEnd"/>
      <w:r w:rsidR="003448AA">
        <w:rPr>
          <w:rFonts w:eastAsia="Calibri" w:cs="Arial"/>
          <w:color w:val="auto"/>
          <w:lang w:eastAsia="en-US"/>
        </w:rPr>
        <w:t xml:space="preserve"> costs</w:t>
      </w:r>
      <w:r w:rsidR="00402A0B">
        <w:rPr>
          <w:rFonts w:eastAsia="Calibri" w:cs="Arial"/>
          <w:color w:val="auto"/>
          <w:lang w:eastAsia="en-US"/>
        </w:rPr>
        <w:t xml:space="preserve"> are </w:t>
      </w:r>
      <w:r w:rsidR="003448AA">
        <w:rPr>
          <w:rFonts w:eastAsia="Calibri" w:cs="Arial"/>
          <w:color w:val="auto"/>
          <w:lang w:eastAsia="en-US"/>
        </w:rPr>
        <w:t xml:space="preserve"> higher as the indexation applies for a longer period .</w:t>
      </w:r>
      <w:r w:rsidRPr="000C6786">
        <w:rPr>
          <w:rFonts w:eastAsia="Calibri" w:cs="Arial"/>
          <w:color w:val="auto"/>
          <w:lang w:eastAsia="en-US"/>
        </w:rPr>
        <w:t xml:space="preserve">  </w:t>
      </w:r>
    </w:p>
    <w:p w:rsidR="000C6786" w:rsidRPr="000C6786" w:rsidRDefault="00E847F4" w:rsidP="000C6786">
      <w:pPr>
        <w:pStyle w:val="bParagraphtext"/>
        <w:jc w:val="both"/>
        <w:rPr>
          <w:rFonts w:cs="Arial"/>
        </w:rPr>
      </w:pPr>
      <w:r w:rsidRPr="000C6786">
        <w:rPr>
          <w:rFonts w:eastAsia="Calibri" w:cs="Arial"/>
          <w:color w:val="auto"/>
          <w:lang w:eastAsia="en-US"/>
        </w:rPr>
        <w:t>Furthermore, the affordable housing deal agreed through the JV is providing good value to the council as the value of the affordable housing</w:t>
      </w:r>
      <w:r w:rsidR="005F340C">
        <w:rPr>
          <w:rFonts w:eastAsia="Calibri" w:cs="Arial"/>
          <w:color w:val="auto"/>
          <w:lang w:eastAsia="en-US"/>
        </w:rPr>
        <w:t xml:space="preserve"> purchased by OCHIL</w:t>
      </w:r>
      <w:r w:rsidRPr="000C6786">
        <w:rPr>
          <w:rFonts w:eastAsia="Calibri" w:cs="Arial"/>
          <w:color w:val="auto"/>
          <w:lang w:eastAsia="en-US"/>
        </w:rPr>
        <w:t xml:space="preserve"> has</w:t>
      </w:r>
      <w:r w:rsidR="000742A1" w:rsidRPr="000C6786">
        <w:rPr>
          <w:rFonts w:eastAsia="Calibri" w:cs="Arial"/>
          <w:color w:val="auto"/>
          <w:lang w:eastAsia="en-US"/>
        </w:rPr>
        <w:t xml:space="preserve"> already</w:t>
      </w:r>
      <w:r w:rsidRPr="000C6786">
        <w:rPr>
          <w:rFonts w:eastAsia="Calibri" w:cs="Arial"/>
          <w:color w:val="auto"/>
          <w:lang w:eastAsia="en-US"/>
        </w:rPr>
        <w:t xml:space="preserve"> increased signifi</w:t>
      </w:r>
      <w:r w:rsidR="000C6786">
        <w:rPr>
          <w:rFonts w:eastAsia="Calibri" w:cs="Arial"/>
          <w:color w:val="auto"/>
          <w:lang w:eastAsia="en-US"/>
        </w:rPr>
        <w:t>cantly over the purchase price.</w:t>
      </w:r>
    </w:p>
    <w:p w:rsidR="000C6786" w:rsidRPr="000C6786" w:rsidRDefault="00E847F4" w:rsidP="000C6786">
      <w:pPr>
        <w:pStyle w:val="bParagraphtext"/>
        <w:jc w:val="both"/>
        <w:rPr>
          <w:rFonts w:cs="Arial"/>
        </w:rPr>
      </w:pPr>
      <w:r w:rsidRPr="000C6786">
        <w:rPr>
          <w:rFonts w:eastAsia="Calibri" w:cs="Arial"/>
          <w:color w:val="auto"/>
          <w:lang w:eastAsia="en-US"/>
        </w:rPr>
        <w:t xml:space="preserve">It should also be noted that at the beginning of the partnership, the </w:t>
      </w:r>
      <w:r w:rsidR="000742A1" w:rsidRPr="000C6786">
        <w:rPr>
          <w:rFonts w:eastAsia="Calibri" w:cs="Arial"/>
          <w:color w:val="auto"/>
          <w:lang w:eastAsia="en-US"/>
        </w:rPr>
        <w:t>C</w:t>
      </w:r>
      <w:r w:rsidRPr="000C6786">
        <w:rPr>
          <w:rFonts w:eastAsia="Calibri" w:cs="Arial"/>
          <w:color w:val="auto"/>
          <w:lang w:eastAsia="en-US"/>
        </w:rPr>
        <w:t xml:space="preserve">ouncil received £0.5 million for services provided by the </w:t>
      </w:r>
      <w:r w:rsidR="000742A1" w:rsidRPr="000C6786">
        <w:rPr>
          <w:rFonts w:eastAsia="Calibri" w:cs="Arial"/>
          <w:color w:val="auto"/>
          <w:lang w:eastAsia="en-US"/>
        </w:rPr>
        <w:t>C</w:t>
      </w:r>
      <w:r w:rsidRPr="000C6786">
        <w:rPr>
          <w:rFonts w:eastAsia="Calibri" w:cs="Arial"/>
          <w:color w:val="auto"/>
          <w:lang w:eastAsia="en-US"/>
        </w:rPr>
        <w:t>ouncil in connection with</w:t>
      </w:r>
      <w:r w:rsidR="005F340C">
        <w:rPr>
          <w:rFonts w:eastAsia="Calibri" w:cs="Arial"/>
          <w:color w:val="auto"/>
          <w:lang w:eastAsia="en-US"/>
        </w:rPr>
        <w:t xml:space="preserve"> establishing</w:t>
      </w:r>
      <w:r w:rsidRPr="000C6786">
        <w:rPr>
          <w:rFonts w:eastAsia="Calibri" w:cs="Arial"/>
          <w:color w:val="auto"/>
          <w:lang w:eastAsia="en-US"/>
        </w:rPr>
        <w:t xml:space="preserve"> the Joint Venture and scheme.</w:t>
      </w:r>
    </w:p>
    <w:p w:rsidR="000C6786" w:rsidRDefault="000C6786" w:rsidP="000C6786">
      <w:pPr>
        <w:pStyle w:val="Heading1"/>
        <w:jc w:val="both"/>
        <w:rPr>
          <w:rFonts w:cs="Arial"/>
        </w:rPr>
      </w:pPr>
      <w:r w:rsidRPr="006B780A">
        <w:rPr>
          <w:rFonts w:cs="Arial"/>
        </w:rPr>
        <w:t>Legal issues</w:t>
      </w:r>
    </w:p>
    <w:p w:rsidR="000B415F" w:rsidRPr="00047221" w:rsidRDefault="000B415F" w:rsidP="000B415F">
      <w:pPr>
        <w:pStyle w:val="ListParagraph"/>
        <w:ind w:left="720"/>
      </w:pPr>
      <w:r w:rsidRPr="00047221">
        <w:t>The Council has the power to dispose of land at best consideration pursuant to Section 123 of the Local Government Act 1972, and has the power to acquire completed affordable housing units pursuant to Section 17 of the Housing Act 1985</w:t>
      </w:r>
      <w:r w:rsidR="00047221">
        <w:t>.</w:t>
      </w:r>
    </w:p>
    <w:p w:rsidR="000B415F" w:rsidRPr="000B415F" w:rsidRDefault="000B415F" w:rsidP="00A5158A">
      <w:pPr>
        <w:pStyle w:val="ListParagraph"/>
        <w:numPr>
          <w:ilvl w:val="0"/>
          <w:numId w:val="0"/>
        </w:numPr>
        <w:ind w:left="720"/>
      </w:pPr>
    </w:p>
    <w:p w:rsidR="000C6786" w:rsidRPr="000C6786" w:rsidRDefault="002766DB" w:rsidP="000C6786">
      <w:pPr>
        <w:pStyle w:val="bParagraphtext"/>
        <w:jc w:val="both"/>
        <w:rPr>
          <w:rFonts w:cs="Arial"/>
        </w:rPr>
      </w:pPr>
      <w:r w:rsidRPr="000C6786">
        <w:rPr>
          <w:color w:val="auto"/>
        </w:rPr>
        <w:t xml:space="preserve">The Barton Oxford LLP Members’ Agreement dated 31st October 2011 (“the Agreement”) sets out the mechanism for decision-making within </w:t>
      </w:r>
      <w:r w:rsidR="0039218D">
        <w:rPr>
          <w:color w:val="auto"/>
        </w:rPr>
        <w:t>BO</w:t>
      </w:r>
      <w:r w:rsidRPr="000C6786">
        <w:rPr>
          <w:color w:val="auto"/>
        </w:rPr>
        <w:t xml:space="preserve">LLP. Grosvenor Development Limited and the Council are the </w:t>
      </w:r>
      <w:r w:rsidR="00234BFC" w:rsidRPr="000C6786">
        <w:rPr>
          <w:color w:val="auto"/>
        </w:rPr>
        <w:t xml:space="preserve">only </w:t>
      </w:r>
      <w:r w:rsidRPr="000C6786">
        <w:rPr>
          <w:color w:val="auto"/>
        </w:rPr>
        <w:t xml:space="preserve">two “members” of </w:t>
      </w:r>
      <w:r w:rsidR="0039218D">
        <w:rPr>
          <w:color w:val="auto"/>
        </w:rPr>
        <w:t>BO</w:t>
      </w:r>
      <w:r w:rsidRPr="000C6786">
        <w:rPr>
          <w:color w:val="auto"/>
        </w:rPr>
        <w:t xml:space="preserve">LLP. The Agreement creates both a Partnership Board and an Executive Project Group, and also contains, as </w:t>
      </w:r>
      <w:r w:rsidR="009D0644" w:rsidRPr="000C6786">
        <w:rPr>
          <w:color w:val="auto"/>
        </w:rPr>
        <w:t>a schedule, a Delegation Policy.</w:t>
      </w:r>
      <w:r w:rsidRPr="000C6786">
        <w:rPr>
          <w:color w:val="auto"/>
        </w:rPr>
        <w:t xml:space="preserve"> This policy sets out a more detailed explanation</w:t>
      </w:r>
      <w:r w:rsidR="00234BFC" w:rsidRPr="000C6786">
        <w:rPr>
          <w:color w:val="auto"/>
        </w:rPr>
        <w:t xml:space="preserve"> of the various levels of </w:t>
      </w:r>
      <w:r w:rsidR="00A0302C" w:rsidRPr="000C6786">
        <w:rPr>
          <w:color w:val="auto"/>
        </w:rPr>
        <w:t xml:space="preserve">decision-making </w:t>
      </w:r>
      <w:r w:rsidR="00234BFC" w:rsidRPr="000C6786">
        <w:rPr>
          <w:color w:val="auto"/>
        </w:rPr>
        <w:t>authority</w:t>
      </w:r>
      <w:r w:rsidR="00A0302C" w:rsidRPr="000C6786">
        <w:rPr>
          <w:color w:val="auto"/>
        </w:rPr>
        <w:t xml:space="preserve"> </w:t>
      </w:r>
      <w:r w:rsidR="00234BFC" w:rsidRPr="000C6786">
        <w:rPr>
          <w:color w:val="auto"/>
        </w:rPr>
        <w:t>with</w:t>
      </w:r>
      <w:r w:rsidR="000C6786">
        <w:rPr>
          <w:color w:val="auto"/>
        </w:rPr>
        <w:t xml:space="preserve">in </w:t>
      </w:r>
      <w:r w:rsidR="0039218D">
        <w:rPr>
          <w:color w:val="auto"/>
        </w:rPr>
        <w:t>BO</w:t>
      </w:r>
      <w:r w:rsidR="000C6786">
        <w:rPr>
          <w:color w:val="auto"/>
        </w:rPr>
        <w:t>LLP.</w:t>
      </w:r>
    </w:p>
    <w:p w:rsidR="000C6786" w:rsidRPr="000C6786" w:rsidRDefault="00234BFC" w:rsidP="000C6786">
      <w:pPr>
        <w:pStyle w:val="bParagraphtext"/>
        <w:jc w:val="both"/>
        <w:rPr>
          <w:rFonts w:cs="Arial"/>
        </w:rPr>
      </w:pPr>
      <w:r w:rsidRPr="000C6786">
        <w:rPr>
          <w:color w:val="auto"/>
        </w:rPr>
        <w:t xml:space="preserve">Certain </w:t>
      </w:r>
      <w:r w:rsidR="00A0302C" w:rsidRPr="000C6786">
        <w:rPr>
          <w:color w:val="auto"/>
        </w:rPr>
        <w:t xml:space="preserve">key </w:t>
      </w:r>
      <w:r w:rsidRPr="000C6786">
        <w:rPr>
          <w:color w:val="auto"/>
        </w:rPr>
        <w:t>matters are reserved for the members themselves</w:t>
      </w:r>
      <w:r w:rsidR="0078199C" w:rsidRPr="000C6786">
        <w:rPr>
          <w:color w:val="auto"/>
        </w:rPr>
        <w:t>;</w:t>
      </w:r>
      <w:r w:rsidRPr="000C6786">
        <w:rPr>
          <w:color w:val="auto"/>
        </w:rPr>
        <w:t xml:space="preserve"> these tend to be high level substantive matters such as any variation to the objects or business of </w:t>
      </w:r>
      <w:r w:rsidR="0039218D">
        <w:rPr>
          <w:color w:val="auto"/>
        </w:rPr>
        <w:t>BO</w:t>
      </w:r>
      <w:r w:rsidRPr="000C6786">
        <w:rPr>
          <w:color w:val="auto"/>
        </w:rPr>
        <w:t>LLP, adding new membe</w:t>
      </w:r>
      <w:r w:rsidR="008A42FE" w:rsidRPr="000C6786">
        <w:rPr>
          <w:color w:val="auto"/>
        </w:rPr>
        <w:t>rs, granting any security over</w:t>
      </w:r>
      <w:r w:rsidRPr="000C6786">
        <w:rPr>
          <w:color w:val="auto"/>
        </w:rPr>
        <w:t xml:space="preserve"> </w:t>
      </w:r>
      <w:r w:rsidR="0039218D">
        <w:rPr>
          <w:color w:val="auto"/>
        </w:rPr>
        <w:t>BO</w:t>
      </w:r>
      <w:r w:rsidRPr="000C6786">
        <w:rPr>
          <w:color w:val="auto"/>
        </w:rPr>
        <w:t xml:space="preserve">LLP </w:t>
      </w:r>
      <w:r w:rsidR="008A42FE" w:rsidRPr="000C6786">
        <w:rPr>
          <w:color w:val="auto"/>
        </w:rPr>
        <w:t xml:space="preserve">assets </w:t>
      </w:r>
      <w:r w:rsidRPr="000C6786">
        <w:rPr>
          <w:color w:val="auto"/>
        </w:rPr>
        <w:t xml:space="preserve">to a third party funder and acquiring new development sites, </w:t>
      </w:r>
      <w:r w:rsidR="000C6786">
        <w:rPr>
          <w:color w:val="auto"/>
        </w:rPr>
        <w:t>etc.</w:t>
      </w:r>
    </w:p>
    <w:p w:rsidR="000C6786" w:rsidRPr="000C6786" w:rsidRDefault="0078199C" w:rsidP="000C6786">
      <w:pPr>
        <w:pStyle w:val="bParagraphtext"/>
        <w:jc w:val="both"/>
        <w:rPr>
          <w:rFonts w:cs="Arial"/>
        </w:rPr>
      </w:pPr>
      <w:r w:rsidRPr="000C6786">
        <w:rPr>
          <w:color w:val="auto"/>
        </w:rPr>
        <w:lastRenderedPageBreak/>
        <w:t>Each member is entitled to appoint up to three “representatives” to the Partnership Board, the chair of which rotates between representatives of the two members. The Council’s representatives are currently the Assistant Chief Executive and the Head of Housing. No resolution may be made by the Partnership Board without the unanimous consent of the representatives of both members. The Partnership Board agrees significant operational matters such as changes to the Investment Plan, approving the annual budget, approving the sales and marketing strategy, declaring any distribution of profits or reserves, etc.</w:t>
      </w:r>
    </w:p>
    <w:p w:rsidR="000C6786" w:rsidRPr="000C6786" w:rsidRDefault="00CF06B1" w:rsidP="000C6786">
      <w:pPr>
        <w:pStyle w:val="bParagraphtext"/>
        <w:jc w:val="both"/>
        <w:rPr>
          <w:rFonts w:cs="Arial"/>
        </w:rPr>
      </w:pPr>
      <w:r w:rsidRPr="000C6786">
        <w:rPr>
          <w:color w:val="auto"/>
        </w:rPr>
        <w:t xml:space="preserve">The </w:t>
      </w:r>
      <w:r w:rsidR="00A0302C" w:rsidRPr="000C6786">
        <w:rPr>
          <w:color w:val="auto"/>
        </w:rPr>
        <w:t xml:space="preserve">Executive Project Group (“EPG”) is, in effect, responsible for the day to day management of the business of </w:t>
      </w:r>
      <w:r w:rsidR="0039218D">
        <w:rPr>
          <w:color w:val="auto"/>
        </w:rPr>
        <w:t>BO</w:t>
      </w:r>
      <w:r w:rsidR="00A0302C" w:rsidRPr="000C6786">
        <w:rPr>
          <w:color w:val="auto"/>
        </w:rPr>
        <w:t>LLP.  Each member may appoint</w:t>
      </w:r>
      <w:r w:rsidR="0053380B" w:rsidRPr="000C6786">
        <w:rPr>
          <w:color w:val="auto"/>
        </w:rPr>
        <w:t xml:space="preserve"> up to three appointees (plus observers) to the EPG</w:t>
      </w:r>
      <w:r w:rsidR="00A0302C" w:rsidRPr="000C6786">
        <w:rPr>
          <w:color w:val="auto"/>
        </w:rPr>
        <w:t>, which is chaired by a Grosvenor appointee.</w:t>
      </w:r>
      <w:r w:rsidR="009D0644" w:rsidRPr="000C6786">
        <w:rPr>
          <w:color w:val="auto"/>
        </w:rPr>
        <w:t xml:space="preserve"> The Council’s representative is currently the Regeneration and Major Projects Service Manager.</w:t>
      </w:r>
      <w:r w:rsidR="00A0302C" w:rsidRPr="000C6786">
        <w:rPr>
          <w:color w:val="auto"/>
        </w:rPr>
        <w:t xml:space="preserve"> In general the EPG is responsible for ensuring that the business of </w:t>
      </w:r>
      <w:r w:rsidR="0039218D">
        <w:rPr>
          <w:color w:val="auto"/>
        </w:rPr>
        <w:t>BO</w:t>
      </w:r>
      <w:r w:rsidR="00A0302C" w:rsidRPr="000C6786">
        <w:rPr>
          <w:color w:val="auto"/>
        </w:rPr>
        <w:t>LLP is properly carried out, and makes recommendations to the Partnership Board on a range of ope</w:t>
      </w:r>
      <w:r w:rsidR="000C6786">
        <w:rPr>
          <w:color w:val="auto"/>
        </w:rPr>
        <w:t>rational and strategic matters.</w:t>
      </w:r>
    </w:p>
    <w:p w:rsidR="000C6786" w:rsidRPr="000C6786" w:rsidRDefault="0053380B" w:rsidP="000C6786">
      <w:pPr>
        <w:pStyle w:val="bParagraphtext"/>
        <w:jc w:val="both"/>
        <w:rPr>
          <w:rFonts w:cs="Arial"/>
        </w:rPr>
      </w:pPr>
      <w:r w:rsidRPr="000C6786">
        <w:rPr>
          <w:color w:val="auto"/>
        </w:rPr>
        <w:t xml:space="preserve">Now that the Barton Park development is well under way and the affordable housing </w:t>
      </w:r>
      <w:r w:rsidR="008A42FE" w:rsidRPr="000C6786">
        <w:rPr>
          <w:color w:val="auto"/>
        </w:rPr>
        <w:t xml:space="preserve">is </w:t>
      </w:r>
      <w:r w:rsidRPr="000C6786">
        <w:rPr>
          <w:color w:val="auto"/>
        </w:rPr>
        <w:t xml:space="preserve">beginning to be completed and occupied, it is both appropriate and necessary that </w:t>
      </w:r>
      <w:r w:rsidR="00064644">
        <w:rPr>
          <w:color w:val="auto"/>
        </w:rPr>
        <w:t>councillors</w:t>
      </w:r>
      <w:r w:rsidRPr="000C6786">
        <w:rPr>
          <w:color w:val="auto"/>
        </w:rPr>
        <w:t xml:space="preserve"> be regularly updated so that </w:t>
      </w:r>
      <w:r w:rsidR="00064644">
        <w:rPr>
          <w:color w:val="auto"/>
        </w:rPr>
        <w:t>councillors</w:t>
      </w:r>
      <w:r w:rsidRPr="000C6786">
        <w:rPr>
          <w:color w:val="auto"/>
        </w:rPr>
        <w:t xml:space="preserve"> can better monitor the impleme</w:t>
      </w:r>
      <w:r w:rsidR="000C6786">
        <w:rPr>
          <w:color w:val="auto"/>
        </w:rPr>
        <w:t xml:space="preserve">ntation of the overall scheme. </w:t>
      </w:r>
      <w:r w:rsidRPr="000C6786">
        <w:rPr>
          <w:color w:val="auto"/>
        </w:rPr>
        <w:t xml:space="preserve">For this reason, this report recommends that </w:t>
      </w:r>
      <w:r w:rsidR="00403332">
        <w:rPr>
          <w:color w:val="auto"/>
        </w:rPr>
        <w:t>quarterly</w:t>
      </w:r>
      <w:r w:rsidRPr="000C6786">
        <w:rPr>
          <w:color w:val="auto"/>
        </w:rPr>
        <w:t xml:space="preserve"> reports be made </w:t>
      </w:r>
      <w:r w:rsidR="00403332">
        <w:rPr>
          <w:color w:val="auto"/>
        </w:rPr>
        <w:t xml:space="preserve">available </w:t>
      </w:r>
      <w:r w:rsidRPr="000C6786">
        <w:rPr>
          <w:color w:val="auto"/>
        </w:rPr>
        <w:t>on overall project progress, financial performanc</w:t>
      </w:r>
      <w:r w:rsidR="000C6786">
        <w:rPr>
          <w:color w:val="auto"/>
        </w:rPr>
        <w:t xml:space="preserve">e and social housing delivery. </w:t>
      </w:r>
      <w:r w:rsidRPr="000C6786">
        <w:rPr>
          <w:color w:val="auto"/>
        </w:rPr>
        <w:t>Such a recommendation is very much</w:t>
      </w:r>
      <w:r w:rsidR="006D0F11" w:rsidRPr="000C6786">
        <w:rPr>
          <w:color w:val="auto"/>
        </w:rPr>
        <w:t xml:space="preserve"> in line with the observations</w:t>
      </w:r>
      <w:r w:rsidRPr="000C6786">
        <w:rPr>
          <w:color w:val="auto"/>
        </w:rPr>
        <w:t xml:space="preserve"> made in the BDO Audit report scheduled to be revi</w:t>
      </w:r>
      <w:r w:rsidR="006D0F11" w:rsidRPr="000C6786">
        <w:rPr>
          <w:color w:val="auto"/>
        </w:rPr>
        <w:t>e</w:t>
      </w:r>
      <w:r w:rsidRPr="000C6786">
        <w:rPr>
          <w:color w:val="auto"/>
        </w:rPr>
        <w:t>wed by the Council’s Au</w:t>
      </w:r>
      <w:r w:rsidR="006D0F11" w:rsidRPr="000C6786">
        <w:rPr>
          <w:color w:val="auto"/>
        </w:rPr>
        <w:t>dit and Governance Committee in July</w:t>
      </w:r>
      <w:r w:rsidRPr="000C6786">
        <w:rPr>
          <w:color w:val="auto"/>
        </w:rPr>
        <w:t>.</w:t>
      </w:r>
      <w:r w:rsidR="00403332">
        <w:rPr>
          <w:color w:val="auto"/>
        </w:rPr>
        <w:t xml:space="preserve"> </w:t>
      </w:r>
      <w:r w:rsidR="00064644">
        <w:rPr>
          <w:color w:val="auto"/>
        </w:rPr>
        <w:t>The Leader has requested that progress reports on all of the Council’s companies and joint ventures be presented to quarterly meetings of the Council’s Shareholder body, which will have an expanded remit to receive reports from companies and joint ventures which do not have shareholders, such as Barton Oxford LLP.</w:t>
      </w:r>
    </w:p>
    <w:p w:rsidR="000C6786" w:rsidRPr="000C6786" w:rsidRDefault="000C6786" w:rsidP="000C6786">
      <w:pPr>
        <w:rPr>
          <w:b/>
        </w:rPr>
      </w:pPr>
      <w:r w:rsidRPr="000C6786">
        <w:rPr>
          <w:b/>
        </w:rPr>
        <w:t>Level of risk</w:t>
      </w:r>
    </w:p>
    <w:p w:rsidR="0078199C" w:rsidRPr="000C6786" w:rsidRDefault="0078199C" w:rsidP="000C6786">
      <w:pPr>
        <w:pStyle w:val="bParagraphtext"/>
        <w:jc w:val="both"/>
        <w:rPr>
          <w:rFonts w:cs="Arial"/>
        </w:rPr>
      </w:pPr>
      <w:r w:rsidRPr="000C6786">
        <w:rPr>
          <w:rFonts w:cs="Arial"/>
        </w:rPr>
        <w:t>Barton Oxford LLP is a 50/50 partnership and the risks are shared between the partners</w:t>
      </w:r>
      <w:r w:rsidR="00C95EFF">
        <w:rPr>
          <w:rFonts w:cs="Arial"/>
        </w:rPr>
        <w:t>, albeit the majority of development expenditure and therefore development risk sits with ODL</w:t>
      </w:r>
      <w:r w:rsidRPr="000C6786">
        <w:rPr>
          <w:rFonts w:cs="Arial"/>
        </w:rPr>
        <w:t>.  Beyond the loss of the land payment, there is no further financial risk to the Council directly from the LLP.</w:t>
      </w:r>
    </w:p>
    <w:p w:rsidR="002329CF" w:rsidRPr="006B780A" w:rsidRDefault="002329CF" w:rsidP="000C6786">
      <w:pPr>
        <w:pStyle w:val="Heading1"/>
        <w:jc w:val="both"/>
        <w:rPr>
          <w:rFonts w:cs="Arial"/>
        </w:rPr>
      </w:pPr>
      <w:r w:rsidRPr="006B780A">
        <w:rPr>
          <w:rFonts w:cs="Arial"/>
        </w:rPr>
        <w:t xml:space="preserve">Equalities impact </w:t>
      </w:r>
    </w:p>
    <w:p w:rsidR="002329CF" w:rsidRPr="000742A1" w:rsidRDefault="00A05CA6" w:rsidP="000C6786">
      <w:pPr>
        <w:pStyle w:val="ListParagraph"/>
      </w:pPr>
      <w:r w:rsidRPr="000742A1">
        <w:t>The delivery of 354 social rented homes will have a positive impact on thos</w:t>
      </w:r>
      <w:r w:rsidR="0078199C">
        <w:t>e</w:t>
      </w:r>
      <w:r w:rsidRPr="000742A1">
        <w:t xml:space="preserve"> households in significant housing need.</w:t>
      </w:r>
    </w:p>
    <w:p w:rsidR="00E87F7A" w:rsidRPr="006B780A" w:rsidRDefault="00E87F7A" w:rsidP="000C6786">
      <w:pPr>
        <w:pStyle w:val="Heading1"/>
        <w:jc w:val="both"/>
        <w:rPr>
          <w:rFonts w:cs="Arial"/>
        </w:rPr>
      </w:pPr>
      <w:r w:rsidRPr="006B780A">
        <w:rPr>
          <w:rFonts w:cs="Arial"/>
        </w:rPr>
        <w:t>Conclusion</w:t>
      </w:r>
    </w:p>
    <w:p w:rsidR="00D241CE" w:rsidRDefault="00D241CE" w:rsidP="000C6786">
      <w:pPr>
        <w:pStyle w:val="ListParagraph"/>
        <w:jc w:val="both"/>
      </w:pPr>
      <w:r w:rsidRPr="00D241CE">
        <w:t>Barton Park is a major development</w:t>
      </w:r>
      <w:r>
        <w:t xml:space="preserve"> for the Council in terms of a partnership and direct involvement in bringing forward a challenging development site for new housing. It has been a significant opportunity for the Council to partner with a high quality developer with aligned values to deliver, high quality and sustainable construction and design</w:t>
      </w:r>
      <w:r w:rsidR="006667DC">
        <w:t>, attractive public realm and</w:t>
      </w:r>
      <w:r>
        <w:t xml:space="preserve"> adding much social value to existing communities</w:t>
      </w:r>
      <w:r w:rsidR="006667DC">
        <w:t xml:space="preserve">. This continues to be an extremely valuable learning experience particularly with regard to the direct infrastructure </w:t>
      </w:r>
      <w:r w:rsidR="006667DC">
        <w:lastRenderedPageBreak/>
        <w:t xml:space="preserve">delivery for the Council </w:t>
      </w:r>
      <w:r w:rsidR="0078199C">
        <w:t>and this</w:t>
      </w:r>
      <w:r w:rsidR="006667DC">
        <w:t xml:space="preserve"> will support the future aspirations to increase the Council’s housing company’s development programme.</w:t>
      </w:r>
    </w:p>
    <w:p w:rsidR="002329CF" w:rsidRPr="006B780A" w:rsidRDefault="002329CF" w:rsidP="000C6786">
      <w:pPr>
        <w:pStyle w:val="ListParagraph"/>
        <w:numPr>
          <w:ilvl w:val="0"/>
          <w:numId w:val="0"/>
        </w:numPr>
        <w:ind w:left="360"/>
        <w:jc w:val="both"/>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6B780A"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6B780A" w:rsidRDefault="00E87F7A" w:rsidP="000C6786">
            <w:pPr>
              <w:jc w:val="both"/>
              <w:rPr>
                <w:rFonts w:cs="Arial"/>
                <w:b/>
              </w:rPr>
            </w:pPr>
            <w:r w:rsidRPr="006B780A">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6B780A" w:rsidRDefault="002651C9" w:rsidP="000C6786">
            <w:pPr>
              <w:jc w:val="both"/>
              <w:rPr>
                <w:rFonts w:cs="Arial"/>
              </w:rPr>
            </w:pPr>
            <w:r w:rsidRPr="006B780A">
              <w:rPr>
                <w:rFonts w:cs="Arial"/>
              </w:rPr>
              <w:t>Jane Winfield</w:t>
            </w:r>
          </w:p>
        </w:tc>
      </w:tr>
      <w:tr w:rsidR="00DF093E" w:rsidRPr="006B780A" w:rsidTr="002651C9">
        <w:trPr>
          <w:cantSplit/>
          <w:trHeight w:val="730"/>
        </w:trPr>
        <w:tc>
          <w:tcPr>
            <w:tcW w:w="3969" w:type="dxa"/>
            <w:tcBorders>
              <w:top w:val="single" w:sz="8" w:space="0" w:color="000000"/>
              <w:left w:val="single" w:sz="8" w:space="0" w:color="000000"/>
              <w:bottom w:val="nil"/>
              <w:right w:val="nil"/>
            </w:tcBorders>
            <w:shd w:val="clear" w:color="auto" w:fill="auto"/>
          </w:tcPr>
          <w:p w:rsidR="00E87F7A" w:rsidRPr="006B780A" w:rsidRDefault="00E87F7A" w:rsidP="000C6786">
            <w:pPr>
              <w:jc w:val="both"/>
              <w:rPr>
                <w:rFonts w:cs="Arial"/>
              </w:rPr>
            </w:pPr>
            <w:r w:rsidRPr="006B780A">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6B780A" w:rsidRDefault="002651C9" w:rsidP="000C6786">
            <w:pPr>
              <w:jc w:val="both"/>
              <w:rPr>
                <w:rFonts w:cs="Arial"/>
              </w:rPr>
            </w:pPr>
            <w:r w:rsidRPr="006B780A">
              <w:rPr>
                <w:rFonts w:cs="Arial"/>
              </w:rPr>
              <w:t xml:space="preserve">Regeneration and Major Projects Service Manager </w:t>
            </w:r>
          </w:p>
        </w:tc>
      </w:tr>
      <w:tr w:rsidR="00DF093E" w:rsidRPr="006B780A" w:rsidTr="00A46E98">
        <w:trPr>
          <w:cantSplit/>
          <w:trHeight w:val="396"/>
        </w:trPr>
        <w:tc>
          <w:tcPr>
            <w:tcW w:w="3969" w:type="dxa"/>
            <w:tcBorders>
              <w:top w:val="nil"/>
              <w:left w:val="single" w:sz="8" w:space="0" w:color="000000"/>
              <w:bottom w:val="nil"/>
              <w:right w:val="nil"/>
            </w:tcBorders>
            <w:shd w:val="clear" w:color="auto" w:fill="auto"/>
          </w:tcPr>
          <w:p w:rsidR="00E87F7A" w:rsidRPr="006B780A" w:rsidRDefault="00E87F7A" w:rsidP="000C6786">
            <w:pPr>
              <w:jc w:val="both"/>
              <w:rPr>
                <w:rFonts w:cs="Arial"/>
              </w:rPr>
            </w:pPr>
            <w:r w:rsidRPr="006B780A">
              <w:rPr>
                <w:rFonts w:cs="Arial"/>
              </w:rPr>
              <w:t>Service area or department</w:t>
            </w:r>
          </w:p>
        </w:tc>
        <w:tc>
          <w:tcPr>
            <w:tcW w:w="4962" w:type="dxa"/>
            <w:tcBorders>
              <w:top w:val="nil"/>
              <w:left w:val="nil"/>
              <w:bottom w:val="nil"/>
              <w:right w:val="single" w:sz="8" w:space="0" w:color="000000"/>
            </w:tcBorders>
            <w:shd w:val="clear" w:color="auto" w:fill="auto"/>
          </w:tcPr>
          <w:p w:rsidR="00E87F7A" w:rsidRPr="006B780A" w:rsidRDefault="002651C9" w:rsidP="000C6786">
            <w:pPr>
              <w:jc w:val="both"/>
              <w:rPr>
                <w:rFonts w:cs="Arial"/>
              </w:rPr>
            </w:pPr>
            <w:r w:rsidRPr="006B780A">
              <w:rPr>
                <w:rFonts w:cs="Arial"/>
              </w:rPr>
              <w:t xml:space="preserve">Regeneration and Major Projects </w:t>
            </w:r>
          </w:p>
        </w:tc>
      </w:tr>
      <w:tr w:rsidR="00DF093E" w:rsidRPr="006B780A" w:rsidTr="00A46E98">
        <w:trPr>
          <w:cantSplit/>
          <w:trHeight w:val="396"/>
        </w:trPr>
        <w:tc>
          <w:tcPr>
            <w:tcW w:w="3969" w:type="dxa"/>
            <w:tcBorders>
              <w:top w:val="nil"/>
              <w:left w:val="single" w:sz="8" w:space="0" w:color="000000"/>
              <w:bottom w:val="nil"/>
              <w:right w:val="nil"/>
            </w:tcBorders>
            <w:shd w:val="clear" w:color="auto" w:fill="auto"/>
          </w:tcPr>
          <w:p w:rsidR="00E87F7A" w:rsidRPr="006B780A" w:rsidRDefault="00E87F7A" w:rsidP="000C6786">
            <w:pPr>
              <w:jc w:val="both"/>
              <w:rPr>
                <w:rFonts w:cs="Arial"/>
              </w:rPr>
            </w:pPr>
            <w:r w:rsidRPr="006B780A">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6B780A" w:rsidRDefault="00E87F7A" w:rsidP="000C6786">
            <w:pPr>
              <w:jc w:val="both"/>
              <w:rPr>
                <w:rFonts w:cs="Arial"/>
              </w:rPr>
            </w:pPr>
            <w:r w:rsidRPr="006B780A">
              <w:rPr>
                <w:rFonts w:cs="Arial"/>
              </w:rPr>
              <w:t xml:space="preserve">01865 </w:t>
            </w:r>
            <w:r w:rsidR="002651C9" w:rsidRPr="006B780A">
              <w:rPr>
                <w:rFonts w:cs="Arial"/>
              </w:rPr>
              <w:t>2525521</w:t>
            </w:r>
            <w:r w:rsidRPr="006B780A">
              <w:rPr>
                <w:rFonts w:cs="Arial"/>
              </w:rPr>
              <w:t xml:space="preserve"> </w:t>
            </w:r>
          </w:p>
        </w:tc>
      </w:tr>
      <w:tr w:rsidR="005570B5" w:rsidRPr="006B780A"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6B780A" w:rsidRDefault="00E87F7A" w:rsidP="000C6786">
            <w:pPr>
              <w:jc w:val="both"/>
              <w:rPr>
                <w:rFonts w:cs="Arial"/>
              </w:rPr>
            </w:pPr>
            <w:r w:rsidRPr="006B780A">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6B780A" w:rsidRDefault="00EB3253" w:rsidP="000C6786">
            <w:pPr>
              <w:jc w:val="both"/>
              <w:rPr>
                <w:rStyle w:val="Hyperlink"/>
                <w:rFonts w:cs="Arial"/>
                <w:color w:val="000000"/>
              </w:rPr>
            </w:pPr>
            <w:hyperlink r:id="rId9" w:history="1">
              <w:r w:rsidR="00F741CE" w:rsidRPr="006B780A">
                <w:rPr>
                  <w:rStyle w:val="Hyperlink"/>
                  <w:rFonts w:cs="Arial"/>
                </w:rPr>
                <w:t>jwinfield@oxford.gov</w:t>
              </w:r>
            </w:hyperlink>
            <w:r w:rsidR="002651C9" w:rsidRPr="006B780A">
              <w:rPr>
                <w:rStyle w:val="Hyperlink"/>
                <w:rFonts w:cs="Arial"/>
                <w:color w:val="000000"/>
              </w:rPr>
              <w:t xml:space="preserve">.uk </w:t>
            </w:r>
          </w:p>
        </w:tc>
      </w:tr>
    </w:tbl>
    <w:p w:rsidR="00433B96" w:rsidRPr="006B780A" w:rsidRDefault="00433B96" w:rsidP="000C6786">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8364"/>
      </w:tblGrid>
      <w:tr w:rsidR="00DF093E" w:rsidRPr="006B780A" w:rsidTr="00A5158A">
        <w:tc>
          <w:tcPr>
            <w:tcW w:w="9154"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6B780A" w:rsidRDefault="00182B81" w:rsidP="000C6786">
            <w:pPr>
              <w:jc w:val="both"/>
              <w:rPr>
                <w:rFonts w:cs="Arial"/>
              </w:rPr>
            </w:pPr>
            <w:r w:rsidRPr="006B780A">
              <w:rPr>
                <w:rStyle w:val="Firstpagetablebold"/>
                <w:rFonts w:cs="Arial"/>
              </w:rPr>
              <w:t xml:space="preserve">Background Papers: </w:t>
            </w:r>
          </w:p>
        </w:tc>
      </w:tr>
      <w:tr w:rsidR="00DF093E" w:rsidRPr="006B780A" w:rsidTr="00A5158A">
        <w:tc>
          <w:tcPr>
            <w:tcW w:w="790" w:type="dxa"/>
            <w:tcBorders>
              <w:top w:val="single" w:sz="8" w:space="0" w:color="000000"/>
              <w:left w:val="single" w:sz="8" w:space="0" w:color="000000"/>
              <w:bottom w:val="single" w:sz="4" w:space="0" w:color="auto"/>
              <w:right w:val="nil"/>
            </w:tcBorders>
            <w:shd w:val="clear" w:color="auto" w:fill="auto"/>
          </w:tcPr>
          <w:p w:rsidR="0093067A" w:rsidRDefault="0093067A" w:rsidP="000C6786">
            <w:pPr>
              <w:jc w:val="both"/>
              <w:rPr>
                <w:rFonts w:cs="Arial"/>
              </w:rPr>
            </w:pPr>
          </w:p>
          <w:p w:rsidR="000742A1" w:rsidRPr="006B780A" w:rsidRDefault="000742A1" w:rsidP="000C6786">
            <w:pPr>
              <w:jc w:val="both"/>
              <w:rPr>
                <w:rFonts w:cs="Arial"/>
              </w:rPr>
            </w:pPr>
            <w:r>
              <w:rPr>
                <w:rFonts w:cs="Arial"/>
              </w:rPr>
              <w:t>None</w:t>
            </w:r>
          </w:p>
        </w:tc>
        <w:tc>
          <w:tcPr>
            <w:tcW w:w="8364" w:type="dxa"/>
            <w:tcBorders>
              <w:top w:val="single" w:sz="8" w:space="0" w:color="000000"/>
              <w:left w:val="nil"/>
              <w:bottom w:val="single" w:sz="4" w:space="0" w:color="auto"/>
              <w:right w:val="single" w:sz="8" w:space="0" w:color="000000"/>
            </w:tcBorders>
          </w:tcPr>
          <w:p w:rsidR="0093067A" w:rsidRPr="006B780A" w:rsidRDefault="0093067A" w:rsidP="000C6786">
            <w:pPr>
              <w:jc w:val="both"/>
              <w:rPr>
                <w:rFonts w:cs="Arial"/>
              </w:rPr>
            </w:pPr>
          </w:p>
        </w:tc>
      </w:tr>
    </w:tbl>
    <w:p w:rsidR="00CE4C87" w:rsidRPr="006B780A" w:rsidRDefault="00CE4C87" w:rsidP="000C6786">
      <w:pPr>
        <w:jc w:val="both"/>
        <w:rPr>
          <w:rFonts w:cs="Arial"/>
        </w:rPr>
      </w:pPr>
    </w:p>
    <w:p w:rsidR="004456DD" w:rsidRPr="006B780A" w:rsidRDefault="004456DD" w:rsidP="000C6786">
      <w:pPr>
        <w:jc w:val="both"/>
        <w:rPr>
          <w:rFonts w:cs="Arial"/>
        </w:rPr>
      </w:pPr>
    </w:p>
    <w:sectPr w:rsidR="004456DD" w:rsidRPr="006B780A" w:rsidSect="00BC200B">
      <w:headerReference w:type="default" r:id="rId10"/>
      <w:footerReference w:type="even" r:id="rId11"/>
      <w:footerReference w:type="default"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B4F" w:rsidRDefault="00F82B4F" w:rsidP="004A6D2F">
      <w:r>
        <w:separator/>
      </w:r>
    </w:p>
  </w:endnote>
  <w:endnote w:type="continuationSeparator" w:id="0">
    <w:p w:rsidR="00F82B4F" w:rsidRDefault="00F82B4F" w:rsidP="004A6D2F">
      <w:r>
        <w:continuationSeparator/>
      </w:r>
    </w:p>
  </w:endnote>
  <w:endnote w:type="continuationNotice" w:id="1">
    <w:p w:rsidR="00F82B4F" w:rsidRDefault="00F82B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16" w:rsidRDefault="00CD30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B4F" w:rsidRDefault="00F82B4F" w:rsidP="004A6D2F">
      <w:r>
        <w:separator/>
      </w:r>
    </w:p>
  </w:footnote>
  <w:footnote w:type="continuationSeparator" w:id="0">
    <w:p w:rsidR="00F82B4F" w:rsidRDefault="00F82B4F" w:rsidP="004A6D2F">
      <w:r>
        <w:continuationSeparator/>
      </w:r>
    </w:p>
  </w:footnote>
  <w:footnote w:type="continuationNotice" w:id="1">
    <w:p w:rsidR="00F82B4F" w:rsidRDefault="00F82B4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16" w:rsidRDefault="00CD3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4A2105" w:rsidP="00D5547E">
    <w:pPr>
      <w:pStyle w:val="Header"/>
      <w:jc w:val="right"/>
    </w:pPr>
    <w:r>
      <w:rPr>
        <w:noProof/>
      </w:rPr>
      <w:drawing>
        <wp:inline distT="0" distB="0" distL="0" distR="0" wp14:anchorId="44397B76" wp14:editId="6C424677">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928"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7A927DB"/>
    <w:multiLevelType w:val="hybridMultilevel"/>
    <w:tmpl w:val="75024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9B13B6"/>
    <w:multiLevelType w:val="hybridMultilevel"/>
    <w:tmpl w:val="CF4893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5B173B2"/>
    <w:multiLevelType w:val="hybridMultilevel"/>
    <w:tmpl w:val="67C8D0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6F32A7D"/>
    <w:multiLevelType w:val="hybridMultilevel"/>
    <w:tmpl w:val="59687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8365C6"/>
    <w:multiLevelType w:val="multilevel"/>
    <w:tmpl w:val="158A9514"/>
    <w:lvl w:ilvl="0">
      <w:start w:val="1"/>
      <w:numFmt w:val="decimal"/>
      <w:pStyle w:val="ListParagraph"/>
      <w:lvlText w:val="%1."/>
      <w:lvlJc w:val="left"/>
      <w:pPr>
        <w:ind w:left="928" w:hanging="360"/>
      </w:pPr>
      <w:rPr>
        <w:rFonts w:ascii="Arial" w:hAnsi="Arial"/>
        <w:b w:val="0"/>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D0E67E4"/>
    <w:multiLevelType w:val="hybridMultilevel"/>
    <w:tmpl w:val="AD005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3"/>
  </w:num>
  <w:num w:numId="3">
    <w:abstractNumId w:val="23"/>
  </w:num>
  <w:num w:numId="4">
    <w:abstractNumId w:val="19"/>
  </w:num>
  <w:num w:numId="5">
    <w:abstractNumId w:val="29"/>
  </w:num>
  <w:num w:numId="6">
    <w:abstractNumId w:val="34"/>
  </w:num>
  <w:num w:numId="7">
    <w:abstractNumId w:val="22"/>
  </w:num>
  <w:num w:numId="8">
    <w:abstractNumId w:val="20"/>
  </w:num>
  <w:num w:numId="9">
    <w:abstractNumId w:val="13"/>
  </w:num>
  <w:num w:numId="10">
    <w:abstractNumId w:val="15"/>
  </w:num>
  <w:num w:numId="11">
    <w:abstractNumId w:val="26"/>
  </w:num>
  <w:num w:numId="12">
    <w:abstractNumId w:val="24"/>
  </w:num>
  <w:num w:numId="13">
    <w:abstractNumId w:val="10"/>
  </w:num>
  <w:num w:numId="14">
    <w:abstractNumId w:val="36"/>
  </w:num>
  <w:num w:numId="15">
    <w:abstractNumId w:val="16"/>
  </w:num>
  <w:num w:numId="16">
    <w:abstractNumId w:val="11"/>
  </w:num>
  <w:num w:numId="17">
    <w:abstractNumId w:val="28"/>
  </w:num>
  <w:num w:numId="18">
    <w:abstractNumId w:val="12"/>
  </w:num>
  <w:num w:numId="19">
    <w:abstractNumId w:val="30"/>
  </w:num>
  <w:num w:numId="20">
    <w:abstractNumId w:val="17"/>
  </w:num>
  <w:num w:numId="21">
    <w:abstractNumId w:val="21"/>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num>
  <w:num w:numId="35">
    <w:abstractNumId w:val="31"/>
  </w:num>
  <w:num w:numId="36">
    <w:abstractNumId w:val="18"/>
  </w:num>
  <w:num w:numId="37">
    <w:abstractNumId w:val="25"/>
  </w:num>
  <w:num w:numId="38">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9E"/>
    <w:rsid w:val="000117D4"/>
    <w:rsid w:val="0001562B"/>
    <w:rsid w:val="000314D7"/>
    <w:rsid w:val="00037861"/>
    <w:rsid w:val="00045F8B"/>
    <w:rsid w:val="00046D2B"/>
    <w:rsid w:val="00047221"/>
    <w:rsid w:val="00052795"/>
    <w:rsid w:val="00056263"/>
    <w:rsid w:val="00064644"/>
    <w:rsid w:val="00064D8A"/>
    <w:rsid w:val="00064F82"/>
    <w:rsid w:val="00066510"/>
    <w:rsid w:val="000742A1"/>
    <w:rsid w:val="00077523"/>
    <w:rsid w:val="000A3C51"/>
    <w:rsid w:val="000A6030"/>
    <w:rsid w:val="000B415F"/>
    <w:rsid w:val="000C089F"/>
    <w:rsid w:val="000C3928"/>
    <w:rsid w:val="000C5E8E"/>
    <w:rsid w:val="000C6786"/>
    <w:rsid w:val="000D01A0"/>
    <w:rsid w:val="000F4751"/>
    <w:rsid w:val="0010524C"/>
    <w:rsid w:val="00111FB1"/>
    <w:rsid w:val="00113418"/>
    <w:rsid w:val="001356F1"/>
    <w:rsid w:val="00136994"/>
    <w:rsid w:val="0014128E"/>
    <w:rsid w:val="00151888"/>
    <w:rsid w:val="00170A2D"/>
    <w:rsid w:val="001808BC"/>
    <w:rsid w:val="00182B81"/>
    <w:rsid w:val="0018509D"/>
    <w:rsid w:val="0018619D"/>
    <w:rsid w:val="00191EAC"/>
    <w:rsid w:val="001A011E"/>
    <w:rsid w:val="001A066A"/>
    <w:rsid w:val="001A13E6"/>
    <w:rsid w:val="001A5731"/>
    <w:rsid w:val="001B42C3"/>
    <w:rsid w:val="001B63D3"/>
    <w:rsid w:val="001C5D5E"/>
    <w:rsid w:val="001D5566"/>
    <w:rsid w:val="001D678D"/>
    <w:rsid w:val="001D7057"/>
    <w:rsid w:val="001D769D"/>
    <w:rsid w:val="001E03F8"/>
    <w:rsid w:val="001E1678"/>
    <w:rsid w:val="001E3376"/>
    <w:rsid w:val="002069B3"/>
    <w:rsid w:val="002329CF"/>
    <w:rsid w:val="00232F5B"/>
    <w:rsid w:val="00234BFC"/>
    <w:rsid w:val="002376C8"/>
    <w:rsid w:val="00247C29"/>
    <w:rsid w:val="00260467"/>
    <w:rsid w:val="00263EA3"/>
    <w:rsid w:val="002651C9"/>
    <w:rsid w:val="002766DB"/>
    <w:rsid w:val="00284F85"/>
    <w:rsid w:val="00290915"/>
    <w:rsid w:val="002A22E2"/>
    <w:rsid w:val="002A68BC"/>
    <w:rsid w:val="002C64F7"/>
    <w:rsid w:val="002F41F2"/>
    <w:rsid w:val="00301BF3"/>
    <w:rsid w:val="0030208D"/>
    <w:rsid w:val="00303510"/>
    <w:rsid w:val="00306AF2"/>
    <w:rsid w:val="00323418"/>
    <w:rsid w:val="003357BF"/>
    <w:rsid w:val="003448AA"/>
    <w:rsid w:val="0034623F"/>
    <w:rsid w:val="00353463"/>
    <w:rsid w:val="003639D7"/>
    <w:rsid w:val="00364FAD"/>
    <w:rsid w:val="0036738F"/>
    <w:rsid w:val="0036759C"/>
    <w:rsid w:val="00367AE5"/>
    <w:rsid w:val="00367D71"/>
    <w:rsid w:val="0038150A"/>
    <w:rsid w:val="0039218D"/>
    <w:rsid w:val="003B6E75"/>
    <w:rsid w:val="003B7DA1"/>
    <w:rsid w:val="003D0379"/>
    <w:rsid w:val="003D2574"/>
    <w:rsid w:val="003D4C59"/>
    <w:rsid w:val="003D5771"/>
    <w:rsid w:val="003F4267"/>
    <w:rsid w:val="00402A0B"/>
    <w:rsid w:val="00403332"/>
    <w:rsid w:val="00404032"/>
    <w:rsid w:val="0040736F"/>
    <w:rsid w:val="00412C1F"/>
    <w:rsid w:val="0042185F"/>
    <w:rsid w:val="00421CB2"/>
    <w:rsid w:val="00423242"/>
    <w:rsid w:val="004268B9"/>
    <w:rsid w:val="00433B96"/>
    <w:rsid w:val="00436339"/>
    <w:rsid w:val="004440F1"/>
    <w:rsid w:val="004456DD"/>
    <w:rsid w:val="00446CDF"/>
    <w:rsid w:val="004504AB"/>
    <w:rsid w:val="004521B7"/>
    <w:rsid w:val="00462AB5"/>
    <w:rsid w:val="00465EAF"/>
    <w:rsid w:val="004738C5"/>
    <w:rsid w:val="00473950"/>
    <w:rsid w:val="00491046"/>
    <w:rsid w:val="00496260"/>
    <w:rsid w:val="004A2105"/>
    <w:rsid w:val="004A2AC7"/>
    <w:rsid w:val="004A6D2F"/>
    <w:rsid w:val="004C2887"/>
    <w:rsid w:val="004D2626"/>
    <w:rsid w:val="004D6E26"/>
    <w:rsid w:val="004D77D3"/>
    <w:rsid w:val="004E2959"/>
    <w:rsid w:val="004F206D"/>
    <w:rsid w:val="004F20EF"/>
    <w:rsid w:val="0050321C"/>
    <w:rsid w:val="00532693"/>
    <w:rsid w:val="005337FE"/>
    <w:rsid w:val="0053380B"/>
    <w:rsid w:val="00543E9E"/>
    <w:rsid w:val="0054712D"/>
    <w:rsid w:val="00547EF6"/>
    <w:rsid w:val="005570B5"/>
    <w:rsid w:val="00563D4C"/>
    <w:rsid w:val="00567E18"/>
    <w:rsid w:val="00574940"/>
    <w:rsid w:val="00575F5F"/>
    <w:rsid w:val="00581805"/>
    <w:rsid w:val="00585F76"/>
    <w:rsid w:val="005A34E4"/>
    <w:rsid w:val="005B17F2"/>
    <w:rsid w:val="005B6585"/>
    <w:rsid w:val="005B7FB0"/>
    <w:rsid w:val="005C35A5"/>
    <w:rsid w:val="005C577C"/>
    <w:rsid w:val="005D0621"/>
    <w:rsid w:val="005D1E27"/>
    <w:rsid w:val="005D2A3E"/>
    <w:rsid w:val="005E022E"/>
    <w:rsid w:val="005E501E"/>
    <w:rsid w:val="005E5215"/>
    <w:rsid w:val="005F093C"/>
    <w:rsid w:val="005F340C"/>
    <w:rsid w:val="005F3A17"/>
    <w:rsid w:val="005F7F7E"/>
    <w:rsid w:val="00614693"/>
    <w:rsid w:val="00615557"/>
    <w:rsid w:val="00623C2F"/>
    <w:rsid w:val="00633578"/>
    <w:rsid w:val="00637068"/>
    <w:rsid w:val="00650811"/>
    <w:rsid w:val="00661D3E"/>
    <w:rsid w:val="006640EF"/>
    <w:rsid w:val="006667DC"/>
    <w:rsid w:val="00692627"/>
    <w:rsid w:val="006969E7"/>
    <w:rsid w:val="006A3643"/>
    <w:rsid w:val="006B780A"/>
    <w:rsid w:val="006C2A29"/>
    <w:rsid w:val="006C3671"/>
    <w:rsid w:val="006C64CF"/>
    <w:rsid w:val="006D0F11"/>
    <w:rsid w:val="006D17B1"/>
    <w:rsid w:val="006D4752"/>
    <w:rsid w:val="006D708A"/>
    <w:rsid w:val="006E14C1"/>
    <w:rsid w:val="006F0292"/>
    <w:rsid w:val="006F27FA"/>
    <w:rsid w:val="006F33E0"/>
    <w:rsid w:val="006F416B"/>
    <w:rsid w:val="006F5181"/>
    <w:rsid w:val="006F519B"/>
    <w:rsid w:val="0070731F"/>
    <w:rsid w:val="00713675"/>
    <w:rsid w:val="00715823"/>
    <w:rsid w:val="00737B93"/>
    <w:rsid w:val="00743053"/>
    <w:rsid w:val="00745BF0"/>
    <w:rsid w:val="007465E8"/>
    <w:rsid w:val="00754AC6"/>
    <w:rsid w:val="007615FE"/>
    <w:rsid w:val="00765552"/>
    <w:rsid w:val="0076655C"/>
    <w:rsid w:val="007742DC"/>
    <w:rsid w:val="00775B10"/>
    <w:rsid w:val="00780D55"/>
    <w:rsid w:val="0078199C"/>
    <w:rsid w:val="00787354"/>
    <w:rsid w:val="00791437"/>
    <w:rsid w:val="007B0C2C"/>
    <w:rsid w:val="007B278E"/>
    <w:rsid w:val="007C5C23"/>
    <w:rsid w:val="007E2A26"/>
    <w:rsid w:val="007F2348"/>
    <w:rsid w:val="007F3F02"/>
    <w:rsid w:val="00803F07"/>
    <w:rsid w:val="0080749A"/>
    <w:rsid w:val="00821FB8"/>
    <w:rsid w:val="00822ACD"/>
    <w:rsid w:val="00837BF7"/>
    <w:rsid w:val="00853D2D"/>
    <w:rsid w:val="00855C66"/>
    <w:rsid w:val="00860CD2"/>
    <w:rsid w:val="00871EE4"/>
    <w:rsid w:val="008749EF"/>
    <w:rsid w:val="0089027F"/>
    <w:rsid w:val="008A42FE"/>
    <w:rsid w:val="008A6C45"/>
    <w:rsid w:val="008B293F"/>
    <w:rsid w:val="008B31BF"/>
    <w:rsid w:val="008B7371"/>
    <w:rsid w:val="008D3DDB"/>
    <w:rsid w:val="008D4A56"/>
    <w:rsid w:val="008F573F"/>
    <w:rsid w:val="008F5EB5"/>
    <w:rsid w:val="00900AC3"/>
    <w:rsid w:val="009034EC"/>
    <w:rsid w:val="0093067A"/>
    <w:rsid w:val="00941C60"/>
    <w:rsid w:val="00955F51"/>
    <w:rsid w:val="00961B82"/>
    <w:rsid w:val="00966D42"/>
    <w:rsid w:val="00971689"/>
    <w:rsid w:val="00973E90"/>
    <w:rsid w:val="00975B07"/>
    <w:rsid w:val="00980B4A"/>
    <w:rsid w:val="00986FD9"/>
    <w:rsid w:val="009C6FE5"/>
    <w:rsid w:val="009D0644"/>
    <w:rsid w:val="009E3D0A"/>
    <w:rsid w:val="009E51FC"/>
    <w:rsid w:val="009F1D28"/>
    <w:rsid w:val="009F7618"/>
    <w:rsid w:val="00A0302C"/>
    <w:rsid w:val="00A04C40"/>
    <w:rsid w:val="00A04D23"/>
    <w:rsid w:val="00A05CA6"/>
    <w:rsid w:val="00A06766"/>
    <w:rsid w:val="00A13765"/>
    <w:rsid w:val="00A21B12"/>
    <w:rsid w:val="00A23F80"/>
    <w:rsid w:val="00A41EC5"/>
    <w:rsid w:val="00A42164"/>
    <w:rsid w:val="00A46E98"/>
    <w:rsid w:val="00A5158A"/>
    <w:rsid w:val="00A6352B"/>
    <w:rsid w:val="00A6580D"/>
    <w:rsid w:val="00A701B5"/>
    <w:rsid w:val="00A714BB"/>
    <w:rsid w:val="00A90B2D"/>
    <w:rsid w:val="00A92D8F"/>
    <w:rsid w:val="00AB2988"/>
    <w:rsid w:val="00AB7999"/>
    <w:rsid w:val="00AC2B5E"/>
    <w:rsid w:val="00AD3292"/>
    <w:rsid w:val="00AE7AF0"/>
    <w:rsid w:val="00B03503"/>
    <w:rsid w:val="00B21945"/>
    <w:rsid w:val="00B500CA"/>
    <w:rsid w:val="00B55537"/>
    <w:rsid w:val="00B75FE6"/>
    <w:rsid w:val="00B86314"/>
    <w:rsid w:val="00BA1C2E"/>
    <w:rsid w:val="00BC200B"/>
    <w:rsid w:val="00BC4756"/>
    <w:rsid w:val="00BC69A4"/>
    <w:rsid w:val="00BD5511"/>
    <w:rsid w:val="00BE0680"/>
    <w:rsid w:val="00BE305F"/>
    <w:rsid w:val="00BE7BA3"/>
    <w:rsid w:val="00BF4454"/>
    <w:rsid w:val="00BF5682"/>
    <w:rsid w:val="00BF7B09"/>
    <w:rsid w:val="00C00B9D"/>
    <w:rsid w:val="00C20A95"/>
    <w:rsid w:val="00C2692F"/>
    <w:rsid w:val="00C3207C"/>
    <w:rsid w:val="00C35606"/>
    <w:rsid w:val="00C400E1"/>
    <w:rsid w:val="00C41187"/>
    <w:rsid w:val="00C42A30"/>
    <w:rsid w:val="00C63C31"/>
    <w:rsid w:val="00C666DA"/>
    <w:rsid w:val="00C757A0"/>
    <w:rsid w:val="00C760DE"/>
    <w:rsid w:val="00C82630"/>
    <w:rsid w:val="00C85B4E"/>
    <w:rsid w:val="00C907F7"/>
    <w:rsid w:val="00C95EFF"/>
    <w:rsid w:val="00CA2103"/>
    <w:rsid w:val="00CB09E6"/>
    <w:rsid w:val="00CB6B99"/>
    <w:rsid w:val="00CD3016"/>
    <w:rsid w:val="00CE4949"/>
    <w:rsid w:val="00CE4C87"/>
    <w:rsid w:val="00CE544A"/>
    <w:rsid w:val="00CF06B1"/>
    <w:rsid w:val="00CF69AF"/>
    <w:rsid w:val="00D11E1C"/>
    <w:rsid w:val="00D160B0"/>
    <w:rsid w:val="00D17F94"/>
    <w:rsid w:val="00D223FC"/>
    <w:rsid w:val="00D241CE"/>
    <w:rsid w:val="00D26D1E"/>
    <w:rsid w:val="00D474CF"/>
    <w:rsid w:val="00D5547E"/>
    <w:rsid w:val="00D61BB5"/>
    <w:rsid w:val="00D869A1"/>
    <w:rsid w:val="00DA413F"/>
    <w:rsid w:val="00DA4584"/>
    <w:rsid w:val="00DA614B"/>
    <w:rsid w:val="00DB0EDA"/>
    <w:rsid w:val="00DC1AEC"/>
    <w:rsid w:val="00DC3060"/>
    <w:rsid w:val="00DC4249"/>
    <w:rsid w:val="00DE0FB2"/>
    <w:rsid w:val="00DF093E"/>
    <w:rsid w:val="00DF6038"/>
    <w:rsid w:val="00E01F42"/>
    <w:rsid w:val="00E206D6"/>
    <w:rsid w:val="00E3366E"/>
    <w:rsid w:val="00E41E74"/>
    <w:rsid w:val="00E52086"/>
    <w:rsid w:val="00E543A6"/>
    <w:rsid w:val="00E60479"/>
    <w:rsid w:val="00E61D73"/>
    <w:rsid w:val="00E73684"/>
    <w:rsid w:val="00E818D6"/>
    <w:rsid w:val="00E847F4"/>
    <w:rsid w:val="00E87F7A"/>
    <w:rsid w:val="00E96BD7"/>
    <w:rsid w:val="00EA0DB1"/>
    <w:rsid w:val="00EA0EE9"/>
    <w:rsid w:val="00EA4CA6"/>
    <w:rsid w:val="00EA7B5D"/>
    <w:rsid w:val="00EB3253"/>
    <w:rsid w:val="00EC572A"/>
    <w:rsid w:val="00ED52CA"/>
    <w:rsid w:val="00ED5860"/>
    <w:rsid w:val="00EE35C9"/>
    <w:rsid w:val="00F05ECA"/>
    <w:rsid w:val="00F3566E"/>
    <w:rsid w:val="00F375FB"/>
    <w:rsid w:val="00F41AC1"/>
    <w:rsid w:val="00F4367A"/>
    <w:rsid w:val="00F445B1"/>
    <w:rsid w:val="00F45CD4"/>
    <w:rsid w:val="00F5357A"/>
    <w:rsid w:val="00F578AE"/>
    <w:rsid w:val="00F66DAF"/>
    <w:rsid w:val="00F66DCA"/>
    <w:rsid w:val="00F73CD4"/>
    <w:rsid w:val="00F741CE"/>
    <w:rsid w:val="00F74F53"/>
    <w:rsid w:val="00F7606D"/>
    <w:rsid w:val="00F81670"/>
    <w:rsid w:val="00F82024"/>
    <w:rsid w:val="00F82B4F"/>
    <w:rsid w:val="00F849DB"/>
    <w:rsid w:val="00F95BC9"/>
    <w:rsid w:val="00FA06BA"/>
    <w:rsid w:val="00FA624C"/>
    <w:rsid w:val="00FC35B2"/>
    <w:rsid w:val="00FC50F7"/>
    <w:rsid w:val="00FD0FAC"/>
    <w:rsid w:val="00FD1DFA"/>
    <w:rsid w:val="00FD4966"/>
    <w:rsid w:val="00FD4BC2"/>
    <w:rsid w:val="00FD689A"/>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Default Paragraph Font" w:uiPriority="1"/>
    <w:lsdException w:name="Subtitle" w:uiPriority="11"/>
    <w:lsdException w:name="Hyperlink" w:qFormat="1"/>
    <w:lsdException w:name="Emphasis"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8749EF"/>
    <w:rPr>
      <w:rFonts w:ascii="Microsoft New Tai Lue" w:hAnsi="Microsoft New Tai Lue" w:cs="Microsoft New Tai Lu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Default Paragraph Font" w:uiPriority="1"/>
    <w:lsdException w:name="Subtitle" w:uiPriority="11"/>
    <w:lsdException w:name="Hyperlink" w:qFormat="1"/>
    <w:lsdException w:name="Emphasis"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8749EF"/>
    <w:rPr>
      <w:rFonts w:ascii="Microsoft New Tai Lue" w:hAnsi="Microsoft New Tai Lue" w:cs="Microsoft New Tai Lu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995132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6589628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6104680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886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winfield@oxford.gov"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5F1C-476B-4812-BBC2-369F41BF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ABDF9626</Template>
  <TotalTime>2</TotalTime>
  <Pages>8</Pages>
  <Words>3042</Words>
  <Characters>15764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18769</CharactersWithSpaces>
  <SharedDoc>false</SharedDoc>
  <HLinks>
    <vt:vector size="6" baseType="variant">
      <vt:variant>
        <vt:i4>3932162</vt:i4>
      </vt:variant>
      <vt:variant>
        <vt:i4>0</vt:i4>
      </vt:variant>
      <vt:variant>
        <vt:i4>0</vt:i4>
      </vt:variant>
      <vt:variant>
        <vt:i4>5</vt:i4>
      </vt:variant>
      <vt:variant>
        <vt:lpwstr>mailto:jwinfield@oxford.gov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cgreen</dc:creator>
  <cp:lastModifiedBy>JMitchell</cp:lastModifiedBy>
  <cp:revision>3</cp:revision>
  <cp:lastPrinted>2019-05-23T10:15:00Z</cp:lastPrinted>
  <dcterms:created xsi:type="dcterms:W3CDTF">2019-07-02T15:29:00Z</dcterms:created>
  <dcterms:modified xsi:type="dcterms:W3CDTF">2019-07-03T10:13:00Z</dcterms:modified>
</cp:coreProperties>
</file>